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137362" w14:textId="1E921753" w:rsidR="00A538D7" w:rsidRDefault="00275B3F">
      <w:pPr>
        <w:pStyle w:val="Header"/>
        <w:tabs>
          <w:tab w:val="clear" w:pos="9639"/>
          <w:tab w:val="right" w:pos="5954"/>
        </w:tabs>
        <w:spacing w:after="240"/>
        <w:jc w:val="right"/>
        <w:rPr>
          <w:rFonts w:ascii="Calibri" w:hAnsi="Calibri"/>
        </w:rPr>
      </w:pPr>
      <w:r>
        <w:rPr>
          <w:rFonts w:ascii="Calibri" w:hAnsi="Calibri"/>
        </w:rPr>
        <w:t xml:space="preserve">Input paper: </w:t>
      </w:r>
      <w:r>
        <w:rPr>
          <w:rStyle w:val="FootnoteReference"/>
          <w:rFonts w:ascii="Calibri" w:hAnsi="Calibri"/>
          <w:sz w:val="22"/>
          <w:vertAlign w:val="superscript"/>
        </w:rPr>
        <w:footnoteReference w:id="1"/>
      </w:r>
      <w:r>
        <w:rPr>
          <w:rFonts w:ascii="Calibri" w:hAnsi="Calibri"/>
        </w:rPr>
        <w:t xml:space="preserve">  </w:t>
      </w:r>
      <w:r w:rsidRPr="00275B3F">
        <w:rPr>
          <w:rFonts w:ascii="Calibri" w:hAnsi="Calibri"/>
        </w:rPr>
        <w:t>ENG17-3.1.1.1</w:t>
      </w:r>
      <w:r>
        <w:rPr>
          <w:rFonts w:ascii="Calibri" w:hAnsi="Calibri"/>
        </w:rPr>
        <w:t>5</w:t>
      </w:r>
    </w:p>
    <w:p w14:paraId="67FEC697" w14:textId="77777777" w:rsidR="00A538D7" w:rsidRDefault="00A538D7">
      <w:pPr>
        <w:pStyle w:val="BodyText"/>
        <w:tabs>
          <w:tab w:val="left" w:pos="2835"/>
        </w:tabs>
        <w:rPr>
          <w:rFonts w:ascii="Calibri" w:hAnsi="Calibri"/>
        </w:rPr>
      </w:pPr>
    </w:p>
    <w:p w14:paraId="341584DE" w14:textId="77777777" w:rsidR="00A538D7" w:rsidRDefault="00A538D7">
      <w:pPr>
        <w:pStyle w:val="BodyText"/>
        <w:tabs>
          <w:tab w:val="left" w:pos="2835"/>
        </w:tabs>
        <w:rPr>
          <w:rFonts w:ascii="Calibri" w:hAnsi="Calibri"/>
        </w:rPr>
      </w:pPr>
    </w:p>
    <w:p w14:paraId="389715B6" w14:textId="77777777" w:rsidR="00A538D7" w:rsidRDefault="00275B3F">
      <w:pPr>
        <w:pStyle w:val="BodyText"/>
        <w:tabs>
          <w:tab w:val="left" w:pos="2835"/>
        </w:tabs>
        <w:rPr>
          <w:rFonts w:ascii="Calibri" w:hAnsi="Calibri"/>
        </w:rPr>
      </w:pPr>
      <w:r>
        <w:rPr>
          <w:rFonts w:ascii="Calibri" w:hAnsi="Calibri"/>
        </w:rPr>
        <w:t xml:space="preserve">Input paper for the following Committee(s): </w:t>
      </w:r>
      <w:r>
        <w:rPr>
          <w:rFonts w:ascii="Calibri" w:hAnsi="Calibri"/>
        </w:rPr>
        <w:tab/>
      </w:r>
      <w:r>
        <w:rPr>
          <w:rFonts w:ascii="Calibri" w:hAnsi="Calibri"/>
          <w:sz w:val="18"/>
          <w:szCs w:val="18"/>
        </w:rPr>
        <w:t>check as appropriate</w:t>
      </w:r>
      <w:r>
        <w:rPr>
          <w:rFonts w:ascii="Calibri" w:hAnsi="Calibri"/>
          <w:sz w:val="18"/>
          <w:szCs w:val="18"/>
        </w:rPr>
        <w:tab/>
      </w:r>
      <w:r>
        <w:rPr>
          <w:rFonts w:ascii="Calibri" w:hAnsi="Calibri"/>
        </w:rPr>
        <w:tab/>
        <w:t>Purpose of paper:</w:t>
      </w:r>
    </w:p>
    <w:p w14:paraId="1728B186" w14:textId="77777777" w:rsidR="00A538D7" w:rsidRDefault="00275B3F">
      <w:pPr>
        <w:pStyle w:val="BodyText"/>
        <w:tabs>
          <w:tab w:val="left" w:pos="1843"/>
        </w:tabs>
        <w:rPr>
          <w:rFonts w:ascii="Calibri" w:hAnsi="Calibri" w:cs="Arial"/>
          <w:b/>
          <w:sz w:val="24"/>
          <w:szCs w:val="24"/>
        </w:rPr>
      </w:pPr>
      <w:proofErr w:type="gramStart"/>
      <w:r>
        <w:rPr>
          <w:rFonts w:ascii="Calibri" w:hAnsi="Calibri" w:cs="Arial"/>
          <w:b/>
          <w:sz w:val="24"/>
          <w:szCs w:val="24"/>
        </w:rPr>
        <w:t>□</w:t>
      </w:r>
      <w:r>
        <w:rPr>
          <w:rFonts w:ascii="Calibri" w:hAnsi="Calibri" w:cs="Arial"/>
          <w:sz w:val="24"/>
          <w:szCs w:val="24"/>
        </w:rPr>
        <w:t xml:space="preserve">  </w:t>
      </w:r>
      <w:r>
        <w:rPr>
          <w:rFonts w:ascii="Calibri" w:hAnsi="Calibri" w:cs="Arial"/>
        </w:rPr>
        <w:t>ARM</w:t>
      </w:r>
      <w:proofErr w:type="gramEnd"/>
      <w:r>
        <w:rPr>
          <w:rFonts w:ascii="Calibri" w:hAnsi="Calibri" w:cs="Arial"/>
        </w:rPr>
        <w:tab/>
        <w:t>X</w:t>
      </w:r>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eastAsia="SimSun" w:hAnsi="Calibri" w:cs="Arial" w:hint="eastAsia"/>
          <w:b/>
          <w:sz w:val="24"/>
          <w:szCs w:val="24"/>
          <w:lang w:eastAsia="zh-CN"/>
        </w:rPr>
        <w:t>☑</w:t>
      </w:r>
      <w:r>
        <w:rPr>
          <w:rFonts w:ascii="Calibri" w:hAnsi="Calibri" w:cs="Arial"/>
          <w:sz w:val="24"/>
          <w:szCs w:val="24"/>
        </w:rPr>
        <w:t xml:space="preserve">  Input</w:t>
      </w:r>
    </w:p>
    <w:p w14:paraId="0F2F2352" w14:textId="77777777" w:rsidR="00A538D7" w:rsidRDefault="00275B3F">
      <w:pPr>
        <w:pStyle w:val="BodyText"/>
        <w:tabs>
          <w:tab w:val="left" w:pos="1843"/>
        </w:tabs>
        <w:rPr>
          <w:rFonts w:ascii="Calibri" w:hAnsi="Calibri"/>
        </w:rPr>
      </w:pPr>
      <w:proofErr w:type="gramStart"/>
      <w:r>
        <w:rPr>
          <w:rFonts w:ascii="Calibri" w:hAnsi="Calibri" w:cs="Arial"/>
          <w:b/>
          <w:sz w:val="24"/>
          <w:szCs w:val="24"/>
        </w:rPr>
        <w:t>□</w:t>
      </w:r>
      <w:r>
        <w:rPr>
          <w:rFonts w:ascii="Calibri" w:hAnsi="Calibri" w:cs="Arial"/>
          <w:sz w:val="24"/>
          <w:szCs w:val="24"/>
        </w:rPr>
        <w:t xml:space="preserve">  </w:t>
      </w:r>
      <w:r>
        <w:rPr>
          <w:rFonts w:ascii="Calibri" w:hAnsi="Calibri" w:cs="Arial"/>
        </w:rPr>
        <w:t>DTEC</w:t>
      </w:r>
      <w:proofErr w:type="gramEnd"/>
      <w:r>
        <w:rPr>
          <w:rFonts w:ascii="Calibri" w:hAnsi="Calibri" w:cs="Arial"/>
          <w:b/>
          <w:sz w:val="24"/>
          <w:szCs w:val="24"/>
        </w:rPr>
        <w:tab/>
        <w:t>□</w:t>
      </w:r>
      <w:r>
        <w:rPr>
          <w:rFonts w:ascii="Calibri" w:hAnsi="Calibri" w:cs="Arial"/>
          <w:sz w:val="24"/>
          <w:szCs w:val="24"/>
        </w:rPr>
        <w:t xml:space="preserve">  </w:t>
      </w:r>
      <w:r>
        <w:rPr>
          <w:rFonts w:ascii="Calibri" w:hAnsi="Calibri" w:cs="Arial"/>
        </w:rPr>
        <w:t>VTS</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b/>
          <w:sz w:val="24"/>
          <w:szCs w:val="24"/>
        </w:rPr>
        <w:t>□</w:t>
      </w:r>
      <w:r>
        <w:rPr>
          <w:rFonts w:ascii="Calibri" w:hAnsi="Calibri" w:cs="Arial"/>
          <w:sz w:val="24"/>
          <w:szCs w:val="24"/>
        </w:rPr>
        <w:t xml:space="preserve">  Information</w:t>
      </w:r>
    </w:p>
    <w:p w14:paraId="1E6AB8C3" w14:textId="77777777" w:rsidR="00A538D7" w:rsidRDefault="00A538D7">
      <w:pPr>
        <w:pStyle w:val="BodyText"/>
        <w:tabs>
          <w:tab w:val="left" w:pos="2835"/>
        </w:tabs>
        <w:rPr>
          <w:rFonts w:ascii="Calibri" w:hAnsi="Calibri"/>
        </w:rPr>
      </w:pPr>
    </w:p>
    <w:p w14:paraId="7F3EDE9D" w14:textId="77777777" w:rsidR="00A538D7" w:rsidRDefault="00275B3F">
      <w:pPr>
        <w:pStyle w:val="BodyText"/>
        <w:tabs>
          <w:tab w:val="left" w:pos="2835"/>
        </w:tabs>
        <w:rPr>
          <w:rFonts w:ascii="Calibri" w:hAnsi="Calibri"/>
        </w:rPr>
      </w:pPr>
      <w:r>
        <w:rPr>
          <w:rFonts w:ascii="Calibri" w:hAnsi="Calibri"/>
        </w:rPr>
        <w:t xml:space="preserve">Agenda item </w:t>
      </w:r>
      <w:r>
        <w:rPr>
          <w:rStyle w:val="FootnoteReference"/>
          <w:rFonts w:ascii="Calibri" w:hAnsi="Calibri"/>
          <w:sz w:val="22"/>
          <w:vertAlign w:val="superscript"/>
        </w:rPr>
        <w:footnoteReference w:id="2"/>
      </w:r>
      <w:r>
        <w:rPr>
          <w:rFonts w:ascii="Calibri" w:hAnsi="Calibri"/>
        </w:rPr>
        <w:tab/>
      </w:r>
      <w:r>
        <w:rPr>
          <w:rFonts w:ascii="Calibri" w:hAnsi="Calibri"/>
        </w:rPr>
        <w:tab/>
      </w:r>
      <w:r>
        <w:rPr>
          <w:rFonts w:ascii="Calibri" w:hAnsi="Calibri"/>
        </w:rPr>
        <w:tab/>
      </w:r>
      <w:proofErr w:type="gramStart"/>
      <w:r>
        <w:rPr>
          <w:rFonts w:ascii="Calibri" w:hAnsi="Calibri"/>
        </w:rPr>
        <w:t>n.n</w:t>
      </w:r>
      <w:proofErr w:type="gramEnd"/>
    </w:p>
    <w:p w14:paraId="5506AD2B" w14:textId="77777777" w:rsidR="00A538D7" w:rsidRDefault="00275B3F">
      <w:pPr>
        <w:pStyle w:val="BodyText"/>
        <w:tabs>
          <w:tab w:val="left" w:pos="2835"/>
        </w:tabs>
        <w:rPr>
          <w:rFonts w:ascii="Calibri" w:hAnsi="Calibri"/>
        </w:rPr>
      </w:pPr>
      <w:r>
        <w:rPr>
          <w:rFonts w:ascii="Calibri" w:hAnsi="Calibri"/>
        </w:rPr>
        <w:t xml:space="preserve">Technical Domain / Task Number </w:t>
      </w:r>
      <w:r>
        <w:rPr>
          <w:rFonts w:ascii="Calibri" w:hAnsi="Calibri"/>
          <w:vertAlign w:val="superscript"/>
        </w:rPr>
        <w:t>2</w:t>
      </w:r>
      <w:r>
        <w:rPr>
          <w:rFonts w:ascii="Calibri" w:hAnsi="Calibri"/>
        </w:rPr>
        <w:tab/>
        <w:t>…………………………………</w:t>
      </w:r>
    </w:p>
    <w:p w14:paraId="7C2E3038" w14:textId="3FCB5F69" w:rsidR="00A538D7" w:rsidRDefault="00275B3F">
      <w:pPr>
        <w:pStyle w:val="BodyText"/>
        <w:tabs>
          <w:tab w:val="left" w:pos="2835"/>
        </w:tabs>
        <w:rPr>
          <w:rFonts w:ascii="Calibri" w:hAnsi="Calibri"/>
          <w:color w:val="FF0000"/>
        </w:rPr>
      </w:pPr>
      <w:r>
        <w:rPr>
          <w:rFonts w:ascii="Calibri" w:hAnsi="Calibri"/>
        </w:rPr>
        <w:t>Author(s) / Submitter(s)</w:t>
      </w:r>
      <w:r>
        <w:rPr>
          <w:rFonts w:ascii="Calibri" w:hAnsi="Calibri"/>
        </w:rPr>
        <w:tab/>
      </w:r>
      <w:r>
        <w:rPr>
          <w:rFonts w:ascii="Calibri" w:hAnsi="Calibri"/>
        </w:rPr>
        <w:tab/>
      </w:r>
      <w:r>
        <w:rPr>
          <w:rFonts w:ascii="Calibri" w:hAnsi="Calibri"/>
        </w:rPr>
        <w:tab/>
        <w:t>………</w:t>
      </w:r>
      <w:r>
        <w:rPr>
          <w:rFonts w:ascii="Calibri" w:eastAsia="SimSun" w:hAnsi="Calibri" w:hint="eastAsia"/>
          <w:lang w:val="en-US" w:eastAsia="zh-CN"/>
        </w:rPr>
        <w:t>CHINA MSA</w:t>
      </w:r>
      <w:r>
        <w:rPr>
          <w:rFonts w:ascii="Calibri" w:hAnsi="Calibri"/>
        </w:rPr>
        <w:t>………</w:t>
      </w:r>
    </w:p>
    <w:p w14:paraId="12FCE03D" w14:textId="77777777" w:rsidR="00A538D7" w:rsidRDefault="00A538D7">
      <w:pPr>
        <w:pStyle w:val="BodyText"/>
        <w:tabs>
          <w:tab w:val="left" w:pos="2835"/>
        </w:tabs>
        <w:rPr>
          <w:rFonts w:ascii="Calibri" w:hAnsi="Calibri"/>
        </w:rPr>
      </w:pPr>
    </w:p>
    <w:p w14:paraId="0A333C6F" w14:textId="77777777" w:rsidR="00A538D7" w:rsidRDefault="00275B3F">
      <w:pPr>
        <w:pStyle w:val="Title"/>
        <w:rPr>
          <w:rFonts w:ascii="Calibri" w:eastAsia="SimSun" w:hAnsi="Calibri"/>
          <w:color w:val="0070C0"/>
          <w:lang w:val="en-US" w:eastAsia="zh-CN"/>
        </w:rPr>
      </w:pPr>
      <w:r>
        <w:rPr>
          <w:rFonts w:ascii="Calibri" w:eastAsia="SimSun" w:hAnsi="Calibri" w:hint="eastAsia"/>
          <w:color w:val="0070C0"/>
          <w:lang w:val="en-US" w:eastAsia="zh-CN"/>
        </w:rPr>
        <w:t xml:space="preserve">Proposal on the Revision of Partial Chapter of IALA G1077 </w:t>
      </w:r>
    </w:p>
    <w:p w14:paraId="6AA2319C" w14:textId="77777777" w:rsidR="00A538D7" w:rsidRPr="00EE3384" w:rsidRDefault="00275B3F">
      <w:pPr>
        <w:pStyle w:val="Title"/>
        <w:rPr>
          <w:rFonts w:ascii="Calibri" w:eastAsia="SimSun" w:hAnsi="Calibri"/>
          <w:color w:val="0070C0"/>
          <w:lang w:val="en-US" w:eastAsia="zh-CN"/>
        </w:rPr>
      </w:pPr>
      <w:r w:rsidRPr="00EE3384">
        <w:rPr>
          <w:rFonts w:ascii="Calibri" w:eastAsia="SimSun" w:hAnsi="Calibri" w:hint="eastAsia"/>
          <w:color w:val="0070C0"/>
          <w:lang w:val="en-US" w:eastAsia="zh-CN"/>
        </w:rPr>
        <w:t>on Maintenance of Aids to Navigation</w:t>
      </w:r>
    </w:p>
    <w:p w14:paraId="6B560BDB" w14:textId="77777777" w:rsidR="00A538D7" w:rsidRDefault="00275B3F">
      <w:pPr>
        <w:pStyle w:val="Heading1"/>
      </w:pPr>
      <w:r>
        <w:t>Summary</w:t>
      </w:r>
    </w:p>
    <w:p w14:paraId="5F11B6C2" w14:textId="45F5AA5A" w:rsidR="00A538D7" w:rsidRDefault="00275B3F">
      <w:pPr>
        <w:rPr>
          <w:rFonts w:ascii="Calibri" w:hAnsi="Calibri"/>
          <w:lang w:val="en-US" w:eastAsia="zh-CN"/>
        </w:rPr>
      </w:pPr>
      <w:r w:rsidRPr="00D7212F">
        <w:rPr>
          <w:rFonts w:ascii="Calibri" w:hAnsi="Calibri"/>
          <w:lang w:val="en-US" w:eastAsia="zh-CN"/>
        </w:rPr>
        <w:t>I</w:t>
      </w:r>
      <w:r w:rsidRPr="00D7212F">
        <w:rPr>
          <w:rFonts w:ascii="Calibri" w:hAnsi="Calibri"/>
        </w:rPr>
        <w:t>n December 2019</w:t>
      </w:r>
      <w:r w:rsidRPr="00D7212F">
        <w:rPr>
          <w:rFonts w:ascii="Calibri" w:hAnsi="Calibri" w:hint="eastAsia"/>
        </w:rPr>
        <w:t>, The Counc</w:t>
      </w:r>
      <w:r>
        <w:rPr>
          <w:rFonts w:ascii="Calibri" w:hAnsi="Calibri" w:hint="eastAsia"/>
        </w:rPr>
        <w:t xml:space="preserve">il approved </w:t>
      </w:r>
      <w:r>
        <w:rPr>
          <w:rFonts w:ascii="Calibri" w:hAnsi="Calibri" w:hint="eastAsia"/>
        </w:rPr>
        <w:t>Recommendation R1018 on Design and Operation in the Provision of Marine Aids to Navigation (Ed.1.0)</w:t>
      </w:r>
      <w:r w:rsidR="00D7212F">
        <w:rPr>
          <w:rFonts w:ascii="Calibri" w:hAnsi="Calibri"/>
        </w:rPr>
        <w:t xml:space="preserve"> </w:t>
      </w:r>
      <w:r>
        <w:rPr>
          <w:rFonts w:ascii="Calibri" w:hAnsi="Calibri"/>
          <w:lang w:val="en-US" w:eastAsia="zh-CN"/>
        </w:rPr>
        <w:t xml:space="preserve">at </w:t>
      </w:r>
      <w:r>
        <w:rPr>
          <w:rFonts w:ascii="Calibri" w:hAnsi="Calibri" w:hint="eastAsia"/>
          <w:lang w:val="en-US" w:eastAsia="zh-CN"/>
        </w:rPr>
        <w:t>its</w:t>
      </w:r>
      <w:r>
        <w:rPr>
          <w:rFonts w:ascii="Calibri" w:hAnsi="Calibri"/>
          <w:lang w:val="en-US" w:eastAsia="zh-CN"/>
        </w:rPr>
        <w:t xml:space="preserve"> 70th </w:t>
      </w:r>
      <w:r>
        <w:rPr>
          <w:rFonts w:ascii="Calibri" w:hAnsi="Calibri" w:hint="eastAsia"/>
          <w:lang w:val="en-US" w:eastAsia="zh-CN"/>
        </w:rPr>
        <w:t xml:space="preserve">session. With the approval of R1018, the Guideline 1077on </w:t>
      </w:r>
      <w:r>
        <w:rPr>
          <w:rFonts w:ascii="Calibri" w:hAnsi="Calibri" w:hint="eastAsia"/>
          <w:i/>
          <w:iCs/>
          <w:lang w:val="en-US" w:eastAsia="zh-CN"/>
        </w:rPr>
        <w:t xml:space="preserve">Maintenance of Aids to </w:t>
      </w:r>
      <w:proofErr w:type="gramStart"/>
      <w:r>
        <w:rPr>
          <w:rFonts w:ascii="Calibri" w:hAnsi="Calibri" w:hint="eastAsia"/>
          <w:i/>
          <w:iCs/>
          <w:lang w:val="en-US" w:eastAsia="zh-CN"/>
        </w:rPr>
        <w:t>Navigation</w:t>
      </w:r>
      <w:r>
        <w:rPr>
          <w:rFonts w:ascii="Calibri" w:hAnsi="Calibri" w:hint="eastAsia"/>
          <w:lang w:val="en-US" w:eastAsia="zh-CN"/>
        </w:rPr>
        <w:t>(</w:t>
      </w:r>
      <w:proofErr w:type="gramEnd"/>
      <w:r>
        <w:rPr>
          <w:rFonts w:ascii="Calibri" w:hAnsi="Calibri" w:hint="eastAsia"/>
          <w:lang w:val="en-US" w:eastAsia="zh-CN"/>
        </w:rPr>
        <w:t xml:space="preserve">Hereinafter referred to as the Guideline) needs to </w:t>
      </w:r>
      <w:r>
        <w:rPr>
          <w:rFonts w:ascii="Calibri" w:hAnsi="Calibri" w:hint="eastAsia"/>
          <w:lang w:val="en-US" w:eastAsia="zh-CN"/>
        </w:rPr>
        <w:t>be revised accordingly. This paper provides some suggestions on the revision of partial chapter of the Guideline.</w:t>
      </w:r>
    </w:p>
    <w:p w14:paraId="58E6F10C" w14:textId="77777777" w:rsidR="00A538D7" w:rsidRDefault="00A538D7">
      <w:pPr>
        <w:pStyle w:val="BodyText"/>
        <w:rPr>
          <w:rFonts w:ascii="Calibri" w:hAnsi="Calibri"/>
        </w:rPr>
      </w:pPr>
    </w:p>
    <w:p w14:paraId="2EBA45DB" w14:textId="77777777" w:rsidR="00A538D7" w:rsidRDefault="00275B3F">
      <w:pPr>
        <w:pStyle w:val="Heading2"/>
      </w:pPr>
      <w:r>
        <w:t>Purpose of the document</w:t>
      </w:r>
    </w:p>
    <w:p w14:paraId="3B16BCFF" w14:textId="432ECCD1" w:rsidR="00A538D7" w:rsidRDefault="00275B3F">
      <w:pPr>
        <w:rPr>
          <w:rFonts w:ascii="Calibri" w:hAnsi="Calibri"/>
          <w:lang w:val="en-US" w:eastAsia="zh-CN"/>
        </w:rPr>
      </w:pPr>
      <w:r>
        <w:rPr>
          <w:rFonts w:ascii="Calibri" w:hAnsi="Calibri" w:hint="eastAsia"/>
          <w:lang w:val="en-US" w:eastAsia="zh-CN"/>
        </w:rPr>
        <w:t>1.1.1The main purpose of this document is to provide a reference for supplementing and improving the maintenance intr</w:t>
      </w:r>
      <w:r>
        <w:rPr>
          <w:rFonts w:ascii="Calibri" w:hAnsi="Calibri" w:hint="eastAsia"/>
          <w:lang w:val="en-US" w:eastAsia="zh-CN"/>
        </w:rPr>
        <w:t xml:space="preserve">oduction of non-steel buoys in the Guideline, </w:t>
      </w:r>
      <w:proofErr w:type="gramStart"/>
      <w:r>
        <w:rPr>
          <w:rFonts w:ascii="Calibri" w:hAnsi="Calibri" w:hint="eastAsia"/>
          <w:lang w:val="en-US" w:eastAsia="zh-CN"/>
        </w:rPr>
        <w:t>so as to</w:t>
      </w:r>
      <w:proofErr w:type="gramEnd"/>
      <w:r>
        <w:rPr>
          <w:rFonts w:ascii="Calibri" w:hAnsi="Calibri" w:hint="eastAsia"/>
          <w:lang w:val="en-US" w:eastAsia="zh-CN"/>
        </w:rPr>
        <w:t xml:space="preserve"> ensure the overall objectivity of the maintenance introduction of non-steel buoys in the Guideline.</w:t>
      </w:r>
    </w:p>
    <w:p w14:paraId="725D65B0" w14:textId="06B035E0" w:rsidR="00A538D7" w:rsidRDefault="00275B3F">
      <w:pPr>
        <w:rPr>
          <w:rFonts w:ascii="Calibri" w:hAnsi="Calibri"/>
          <w:lang w:val="en-US" w:eastAsia="zh-CN"/>
        </w:rPr>
      </w:pPr>
      <w:r>
        <w:rPr>
          <w:rFonts w:ascii="Calibri" w:hAnsi="Calibri" w:hint="eastAsia"/>
          <w:lang w:val="en-US" w:eastAsia="zh-CN"/>
        </w:rPr>
        <w:t>1.1.2Radar transponders are all-weather navigational aids installed in important locations such as br</w:t>
      </w:r>
      <w:r>
        <w:rPr>
          <w:rFonts w:ascii="Calibri" w:hAnsi="Calibri" w:hint="eastAsia"/>
          <w:lang w:val="en-US" w:eastAsia="zh-CN"/>
        </w:rPr>
        <w:t>idges, light posts, and lighthouses to locate ships. Maintaining a good radar transponder can promote the economic development of port shipping, improve industry management level, and have significant economic and social benefits. The second purpose of the</w:t>
      </w:r>
      <w:r>
        <w:rPr>
          <w:rFonts w:ascii="Calibri" w:hAnsi="Calibri" w:hint="eastAsia"/>
          <w:lang w:val="en-US" w:eastAsia="zh-CN"/>
        </w:rPr>
        <w:t xml:space="preserve"> proposal is to supplement the maintenance related content of the radar transponder.</w:t>
      </w:r>
    </w:p>
    <w:p w14:paraId="04131617" w14:textId="77777777" w:rsidR="00A538D7" w:rsidRDefault="00A538D7">
      <w:pPr>
        <w:pStyle w:val="BodyText"/>
        <w:rPr>
          <w:rFonts w:ascii="Calibri" w:hAnsi="Calibri"/>
        </w:rPr>
      </w:pPr>
    </w:p>
    <w:p w14:paraId="6B431B49" w14:textId="77777777" w:rsidR="00A538D7" w:rsidRDefault="00275B3F">
      <w:pPr>
        <w:pStyle w:val="Heading2"/>
      </w:pPr>
      <w:r>
        <w:t>Related documents</w:t>
      </w:r>
    </w:p>
    <w:p w14:paraId="087AC2CC" w14:textId="77777777" w:rsidR="00A538D7" w:rsidRDefault="00275B3F">
      <w:pPr>
        <w:pStyle w:val="References"/>
        <w:rPr>
          <w:rFonts w:ascii="Calibri" w:hAnsi="Calibri"/>
          <w:i/>
          <w:iCs/>
          <w:lang w:val="en-US" w:eastAsia="zh-CN"/>
        </w:rPr>
      </w:pPr>
      <w:r>
        <w:rPr>
          <w:rFonts w:ascii="Calibri" w:hAnsi="Calibri"/>
          <w:lang w:eastAsia="zh-CN"/>
        </w:rPr>
        <w:t>I</w:t>
      </w:r>
      <w:r>
        <w:rPr>
          <w:rFonts w:ascii="Calibri" w:hAnsi="Calibri" w:hint="eastAsia"/>
          <w:lang w:val="en-US" w:eastAsia="zh-CN"/>
        </w:rPr>
        <w:t xml:space="preserve">ALA R1018 </w:t>
      </w:r>
      <w:r>
        <w:rPr>
          <w:rFonts w:ascii="Calibri" w:hAnsi="Calibri" w:hint="eastAsia"/>
          <w:i/>
          <w:iCs/>
          <w:lang w:val="en-US" w:eastAsia="zh-CN"/>
        </w:rPr>
        <w:t>Responsible Design, Operation and Maintenance in the Provision of Marine Aids to Navigation</w:t>
      </w:r>
    </w:p>
    <w:p w14:paraId="688FC893" w14:textId="77777777" w:rsidR="00A538D7" w:rsidRDefault="00275B3F">
      <w:pPr>
        <w:pStyle w:val="References"/>
        <w:rPr>
          <w:rFonts w:ascii="Calibri" w:hAnsi="Calibri"/>
          <w:i/>
          <w:iCs/>
          <w:lang w:val="en-US" w:eastAsia="zh-CN"/>
        </w:rPr>
      </w:pPr>
      <w:r>
        <w:rPr>
          <w:rFonts w:ascii="Calibri" w:hAnsi="Calibri" w:hint="eastAsia"/>
          <w:lang w:val="en-US" w:eastAsia="zh-CN"/>
        </w:rPr>
        <w:t xml:space="preserve">IALA G1077 </w:t>
      </w:r>
      <w:r>
        <w:rPr>
          <w:rFonts w:ascii="Calibri" w:hAnsi="Calibri" w:hint="eastAsia"/>
          <w:i/>
          <w:iCs/>
          <w:lang w:val="en-US" w:eastAsia="zh-CN"/>
        </w:rPr>
        <w:t>Maintenance of Aids to Navigation</w:t>
      </w:r>
    </w:p>
    <w:p w14:paraId="6F0E9FA4" w14:textId="77777777" w:rsidR="00A538D7" w:rsidRDefault="00275B3F">
      <w:pPr>
        <w:pStyle w:val="References"/>
        <w:rPr>
          <w:rFonts w:ascii="Calibri" w:hAnsi="Calibri"/>
          <w:i/>
          <w:iCs/>
          <w:lang w:val="en-US" w:eastAsia="zh-CN"/>
        </w:rPr>
      </w:pPr>
      <w:r>
        <w:rPr>
          <w:rFonts w:ascii="Calibri" w:hAnsi="Calibri" w:hint="eastAsia"/>
          <w:lang w:val="en-US" w:eastAsia="zh-CN"/>
        </w:rPr>
        <w:t>IALA</w:t>
      </w:r>
      <w:r>
        <w:rPr>
          <w:rFonts w:ascii="Calibri" w:hAnsi="Calibri" w:hint="eastAsia"/>
          <w:lang w:val="en-US" w:eastAsia="zh-CN"/>
        </w:rPr>
        <w:t xml:space="preserve"> R1001 </w:t>
      </w:r>
      <w:r>
        <w:rPr>
          <w:rFonts w:ascii="Calibri" w:hAnsi="Calibri" w:hint="eastAsia"/>
          <w:i/>
          <w:iCs/>
          <w:lang w:val="en-US" w:eastAsia="zh-CN"/>
        </w:rPr>
        <w:t>The IALA Maritime Buoyage System</w:t>
      </w:r>
    </w:p>
    <w:p w14:paraId="1F0F5A87" w14:textId="77777777" w:rsidR="00A538D7" w:rsidRPr="00275B3F" w:rsidRDefault="00275B3F">
      <w:pPr>
        <w:pStyle w:val="References"/>
        <w:rPr>
          <w:rFonts w:ascii="Calibri" w:hAnsi="Calibri"/>
          <w:i/>
          <w:iCs/>
          <w:lang w:val="fr-FR" w:eastAsia="zh-CN"/>
        </w:rPr>
      </w:pPr>
      <w:r w:rsidRPr="00275B3F">
        <w:rPr>
          <w:rFonts w:ascii="Calibri" w:hAnsi="Calibri"/>
          <w:i/>
          <w:iCs/>
          <w:lang w:val="fr-FR" w:eastAsia="zh-CN"/>
        </w:rPr>
        <w:t>IALA R101 Recommendation Marine Radar Beacons (racons)</w:t>
      </w:r>
    </w:p>
    <w:p w14:paraId="2B10C1F0" w14:textId="77777777" w:rsidR="00A538D7" w:rsidRDefault="00275B3F">
      <w:pPr>
        <w:pStyle w:val="References"/>
        <w:rPr>
          <w:rFonts w:ascii="Calibri" w:hAnsi="Calibri"/>
          <w:i/>
          <w:iCs/>
          <w:lang w:val="en-US" w:eastAsia="zh-CN"/>
        </w:rPr>
      </w:pPr>
      <w:r w:rsidRPr="00275B3F">
        <w:rPr>
          <w:rFonts w:ascii="Calibri" w:hAnsi="Calibri"/>
          <w:i/>
          <w:iCs/>
          <w:lang w:val="fr-FR" w:eastAsia="zh-CN"/>
        </w:rPr>
        <w:t xml:space="preserve"> </w:t>
      </w:r>
      <w:r>
        <w:rPr>
          <w:rFonts w:ascii="Calibri" w:hAnsi="Calibri"/>
          <w:i/>
          <w:iCs/>
          <w:lang w:val="en-US" w:eastAsia="zh-CN"/>
        </w:rPr>
        <w:t xml:space="preserve">IALA G1010 On Racon Range Performance </w:t>
      </w:r>
    </w:p>
    <w:p w14:paraId="3CECE64F" w14:textId="77777777" w:rsidR="00A538D7" w:rsidRDefault="00275B3F">
      <w:pPr>
        <w:pStyle w:val="Heading1"/>
      </w:pPr>
      <w:r>
        <w:lastRenderedPageBreak/>
        <w:t>Background</w:t>
      </w:r>
    </w:p>
    <w:p w14:paraId="674C4189" w14:textId="77777777" w:rsidR="00A538D7" w:rsidRDefault="00275B3F">
      <w:pPr>
        <w:spacing w:line="412" w:lineRule="exact"/>
        <w:rPr>
          <w:rFonts w:ascii="Calibri" w:hAnsi="Calibri"/>
          <w:lang w:val="en-US" w:eastAsia="zh-CN"/>
        </w:rPr>
      </w:pPr>
      <w:r>
        <w:rPr>
          <w:rFonts w:ascii="Calibri" w:hAnsi="Calibri" w:hint="eastAsia"/>
          <w:lang w:val="en-US" w:eastAsia="zh-CN"/>
        </w:rPr>
        <w:t xml:space="preserve">2.1As the maintenance introduction of polyethylene non-steel buoys described in Appendix A2.2 of the </w:t>
      </w:r>
      <w:proofErr w:type="gramStart"/>
      <w:r>
        <w:rPr>
          <w:rFonts w:ascii="Calibri" w:hAnsi="Calibri" w:hint="eastAsia"/>
          <w:lang w:val="en-US" w:eastAsia="zh-CN"/>
        </w:rPr>
        <w:t>Guideline</w:t>
      </w:r>
      <w:r>
        <w:rPr>
          <w:rFonts w:ascii="Calibri" w:hAnsi="Calibri" w:hint="eastAsia"/>
          <w:lang w:val="en-US" w:eastAsia="zh-CN"/>
        </w:rPr>
        <w:t xml:space="preserve">  mainly</w:t>
      </w:r>
      <w:proofErr w:type="gramEnd"/>
      <w:r>
        <w:rPr>
          <w:rFonts w:ascii="Calibri" w:hAnsi="Calibri" w:hint="eastAsia"/>
          <w:lang w:val="en-US" w:eastAsia="zh-CN"/>
        </w:rPr>
        <w:t xml:space="preserve"> describes the maintenance of low-density polyethylene buoys. However, ultra high molecular weight polyethylene buoys are more widely used in practice. Choosing to repair the </w:t>
      </w:r>
      <w:proofErr w:type="gramStart"/>
      <w:r>
        <w:rPr>
          <w:rFonts w:ascii="Calibri" w:hAnsi="Calibri" w:hint="eastAsia"/>
          <w:lang w:val="en-US" w:eastAsia="zh-CN"/>
        </w:rPr>
        <w:t>damaged  surface</w:t>
      </w:r>
      <w:proofErr w:type="gramEnd"/>
      <w:r>
        <w:rPr>
          <w:rFonts w:ascii="Calibri" w:hAnsi="Calibri" w:hint="eastAsia"/>
          <w:lang w:val="en-US" w:eastAsia="zh-CN"/>
        </w:rPr>
        <w:t xml:space="preserve"> on buoys by spraying new plastic with flame can only be </w:t>
      </w:r>
      <w:r>
        <w:rPr>
          <w:rFonts w:ascii="Calibri" w:hAnsi="Calibri" w:hint="eastAsia"/>
          <w:lang w:val="en-US" w:eastAsia="zh-CN"/>
        </w:rPr>
        <w:t xml:space="preserve">applied to low-density polyethylene buoys. And the modular structure mentioned in this chapter, which is in good condition during repair, </w:t>
      </w:r>
      <w:proofErr w:type="gramStart"/>
      <w:r>
        <w:rPr>
          <w:rFonts w:ascii="Calibri" w:hAnsi="Calibri" w:hint="eastAsia"/>
          <w:lang w:val="en-US" w:eastAsia="zh-CN"/>
        </w:rPr>
        <w:t>can same</w:t>
      </w:r>
      <w:proofErr w:type="gramEnd"/>
      <w:r>
        <w:rPr>
          <w:rFonts w:ascii="Calibri" w:hAnsi="Calibri" w:hint="eastAsia"/>
          <w:lang w:val="en-US" w:eastAsia="zh-CN"/>
        </w:rPr>
        <w:t xml:space="preserve"> only be applied to low-density polyethylene buoys. Obviously, this conflicts with the maintenance methods of </w:t>
      </w:r>
      <w:r>
        <w:rPr>
          <w:rFonts w:ascii="Calibri" w:hAnsi="Calibri" w:hint="eastAsia"/>
          <w:lang w:val="en-US" w:eastAsia="zh-CN"/>
        </w:rPr>
        <w:t xml:space="preserve">ultra high molecular weight polyethylene buoys, thus the lack of maintenance of ultra high molecular weight polyethylene </w:t>
      </w:r>
      <w:proofErr w:type="gramStart"/>
      <w:r>
        <w:rPr>
          <w:rFonts w:ascii="Calibri" w:hAnsi="Calibri" w:hint="eastAsia"/>
          <w:lang w:val="en-US" w:eastAsia="zh-CN"/>
        </w:rPr>
        <w:t>buoys  leads</w:t>
      </w:r>
      <w:proofErr w:type="gramEnd"/>
      <w:r>
        <w:rPr>
          <w:rFonts w:ascii="Calibri" w:hAnsi="Calibri" w:hint="eastAsia"/>
          <w:lang w:val="en-US" w:eastAsia="zh-CN"/>
        </w:rPr>
        <w:t xml:space="preserve"> to a blank in Guideline.</w:t>
      </w:r>
    </w:p>
    <w:p w14:paraId="737B00A1" w14:textId="310F75D1" w:rsidR="00A538D7" w:rsidRDefault="00275B3F">
      <w:pPr>
        <w:shd w:val="clear" w:color="auto" w:fill="FFFFFF"/>
        <w:spacing w:line="330" w:lineRule="atLeast"/>
        <w:ind w:right="526"/>
        <w:rPr>
          <w:rFonts w:ascii="Calibri" w:hAnsi="Calibri"/>
          <w:lang w:val="en-US" w:eastAsia="zh-CN"/>
        </w:rPr>
      </w:pPr>
      <w:r>
        <w:rPr>
          <w:rFonts w:ascii="Calibri" w:hAnsi="Calibri" w:hint="eastAsia"/>
          <w:lang w:val="en-US" w:eastAsia="zh-CN"/>
        </w:rPr>
        <w:t>2.2</w:t>
      </w:r>
      <w:hyperlink r:id="rId12" w:anchor="##" w:history="1"/>
      <w:hyperlink r:id="rId13" w:tooltip="添加到收藏夹" w:history="1"/>
      <w:r>
        <w:rPr>
          <w:rFonts w:ascii="Calibri" w:hAnsi="Calibri"/>
          <w:lang w:val="en-US" w:eastAsia="zh-CN"/>
        </w:rPr>
        <w:t>Appendix D of the "Guide" mainly provides maintenance instructions for lanterns and t</w:t>
      </w:r>
      <w:r>
        <w:rPr>
          <w:rFonts w:ascii="Calibri" w:hAnsi="Calibri"/>
          <w:lang w:val="en-US" w:eastAsia="zh-CN"/>
        </w:rPr>
        <w:t xml:space="preserve">heir external structures, ordinary light fixtures, sound emitting devices, etc., but lacks maintenance instructions for commonly used radar </w:t>
      </w:r>
      <w:r>
        <w:rPr>
          <w:rFonts w:ascii="Calibri" w:hAnsi="Calibri" w:hint="eastAsia"/>
          <w:lang w:val="en-US" w:eastAsia="zh-CN"/>
        </w:rPr>
        <w:t>transponder</w:t>
      </w:r>
      <w:r>
        <w:rPr>
          <w:rFonts w:ascii="Calibri" w:hAnsi="Calibri"/>
          <w:lang w:val="en-US" w:eastAsia="zh-CN"/>
        </w:rPr>
        <w:t>s.</w:t>
      </w:r>
    </w:p>
    <w:p w14:paraId="50D414DA" w14:textId="77777777" w:rsidR="00A538D7" w:rsidRDefault="00275B3F">
      <w:pPr>
        <w:pStyle w:val="Heading1"/>
      </w:pPr>
      <w:r>
        <w:t>Discussion</w:t>
      </w:r>
    </w:p>
    <w:p w14:paraId="7330CC7A" w14:textId="0998984B" w:rsidR="00A538D7" w:rsidRDefault="00275B3F">
      <w:pPr>
        <w:pStyle w:val="BodyText"/>
        <w:jc w:val="left"/>
        <w:rPr>
          <w:rFonts w:ascii="Calibri" w:hAnsi="Calibri"/>
          <w:lang w:val="en-US" w:eastAsia="en-US"/>
        </w:rPr>
      </w:pPr>
      <w:r>
        <w:rPr>
          <w:rFonts w:ascii="Calibri" w:hAnsi="Calibri" w:hint="eastAsia"/>
          <w:lang w:val="en-US" w:eastAsia="zh-CN"/>
        </w:rPr>
        <w:t xml:space="preserve">3.1 There are mainly two kinds of polyethylene used in AtoNs, one is linear </w:t>
      </w:r>
      <w:proofErr w:type="gramStart"/>
      <w:r>
        <w:rPr>
          <w:rFonts w:ascii="Calibri" w:hAnsi="Calibri" w:hint="eastAsia"/>
          <w:lang w:val="en-US" w:eastAsia="zh-CN"/>
        </w:rPr>
        <w:t>low density</w:t>
      </w:r>
      <w:proofErr w:type="gramEnd"/>
      <w:r>
        <w:rPr>
          <w:rFonts w:ascii="Calibri" w:hAnsi="Calibri" w:hint="eastAsia"/>
          <w:lang w:val="en-US" w:eastAsia="zh-CN"/>
        </w:rPr>
        <w:t xml:space="preserve"> pol</w:t>
      </w:r>
      <w:r>
        <w:rPr>
          <w:rFonts w:ascii="Calibri" w:hAnsi="Calibri" w:hint="eastAsia"/>
          <w:lang w:val="en-US" w:eastAsia="zh-CN"/>
        </w:rPr>
        <w:t>yethylene (LLDPE) and the other is ultra high molecular weight polyethylene (UHMWPE). Although they are all polyethylene, the material properties differ greatly because of the completely different branched chain structures. LLDPE has the advantages of good</w:t>
      </w:r>
      <w:r>
        <w:rPr>
          <w:rFonts w:ascii="Calibri" w:hAnsi="Calibri" w:hint="eastAsia"/>
          <w:lang w:val="en-US" w:eastAsia="zh-CN"/>
        </w:rPr>
        <w:t xml:space="preserve"> toughness, strong rigidity, heat resistance, cold resistance and so on. The material melts immediately after heating, which is convenient for later repair. However, its impact resistance and its deep-sea stability are poor; UHMWPE has excellent impact res</w:t>
      </w:r>
      <w:r>
        <w:rPr>
          <w:rFonts w:ascii="Calibri" w:hAnsi="Calibri" w:hint="eastAsia"/>
          <w:lang w:val="en-US" w:eastAsia="zh-CN"/>
        </w:rPr>
        <w:t xml:space="preserve">istance, wear resistance, weather resistance, stress cracking resistance, adhesion resistance, self </w:t>
      </w:r>
      <w:proofErr w:type="gramStart"/>
      <w:r>
        <w:rPr>
          <w:rFonts w:ascii="Calibri" w:hAnsi="Calibri" w:hint="eastAsia"/>
          <w:lang w:val="en-US" w:eastAsia="zh-CN"/>
        </w:rPr>
        <w:t>lubrication</w:t>
      </w:r>
      <w:proofErr w:type="gramEnd"/>
      <w:r>
        <w:rPr>
          <w:rFonts w:ascii="Calibri" w:hAnsi="Calibri" w:hint="eastAsia"/>
          <w:lang w:val="en-US" w:eastAsia="zh-CN"/>
        </w:rPr>
        <w:t xml:space="preserve"> and other advantages. However, due to almost no branched chain, UHMWPE is incompatible with each other even after heating, and cannot be repaire</w:t>
      </w:r>
      <w:r>
        <w:rPr>
          <w:rFonts w:ascii="Calibri" w:hAnsi="Calibri" w:hint="eastAsia"/>
          <w:lang w:val="en-US" w:eastAsia="zh-CN"/>
        </w:rPr>
        <w:t>d in small area.</w:t>
      </w:r>
      <w:r w:rsidR="00D7212F">
        <w:rPr>
          <w:rFonts w:ascii="Calibri" w:hAnsi="Calibri"/>
          <w:lang w:val="en-US" w:eastAsia="zh-CN"/>
        </w:rPr>
        <w:t xml:space="preserve"> </w:t>
      </w:r>
      <w:r>
        <w:rPr>
          <w:rFonts w:ascii="Calibri" w:hAnsi="Calibri" w:hint="eastAsia"/>
          <w:lang w:val="en-US" w:eastAsia="zh-CN"/>
        </w:rPr>
        <w:t xml:space="preserve">The second part of the Guidelines </w:t>
      </w:r>
      <w:r w:rsidRPr="00D7212F">
        <w:rPr>
          <w:rFonts w:ascii="Calibri" w:hAnsi="Calibri" w:hint="eastAsia"/>
          <w:lang w:val="en-US" w:eastAsia="zh-CN"/>
        </w:rPr>
        <w:t>states</w:t>
      </w:r>
      <w:r w:rsidRPr="00D7212F">
        <w:rPr>
          <w:rFonts w:ascii="Calibri" w:hAnsi="Calibri"/>
          <w:lang w:val="en-US" w:eastAsia="zh-CN"/>
        </w:rPr>
        <w:t xml:space="preserve"> in the guiding principles</w:t>
      </w:r>
      <w:r w:rsidRPr="00D7212F">
        <w:rPr>
          <w:rFonts w:ascii="Calibri" w:hAnsi="Calibri" w:hint="eastAsia"/>
          <w:lang w:val="en-US" w:eastAsia="zh-CN"/>
        </w:rPr>
        <w:t xml:space="preserve"> for maintenance strategies that </w:t>
      </w:r>
      <w:r w:rsidRPr="00D7212F">
        <w:rPr>
          <w:rFonts w:ascii="Calibri" w:hAnsi="Calibri" w:hint="eastAsia"/>
          <w:lang w:val="en-US" w:eastAsia="en-US"/>
        </w:rPr>
        <w:t xml:space="preserve">the interrelationship with requirements and design must be taken into consideration. Where the costs of maintaining systems are </w:t>
      </w:r>
      <w:r w:rsidRPr="00D7212F">
        <w:rPr>
          <w:rFonts w:ascii="Calibri" w:hAnsi="Calibri" w:hint="eastAsia"/>
          <w:lang w:val="en-US" w:eastAsia="en-US"/>
        </w:rPr>
        <w:t>excessive, it may be ap</w:t>
      </w:r>
      <w:r>
        <w:rPr>
          <w:rFonts w:ascii="Calibri" w:hAnsi="Calibri" w:hint="eastAsia"/>
          <w:lang w:val="en-US" w:eastAsia="en-US"/>
        </w:rPr>
        <w:t>propriate to revisit the original designs and user requirements.</w:t>
      </w:r>
      <w:r w:rsidR="00D7212F">
        <w:rPr>
          <w:rFonts w:ascii="Calibri" w:hAnsi="Calibri"/>
          <w:lang w:val="en-US" w:eastAsia="en-US"/>
        </w:rPr>
        <w:t xml:space="preserve"> </w:t>
      </w:r>
      <w:r>
        <w:rPr>
          <w:rFonts w:ascii="Calibri" w:hAnsi="Calibri" w:hint="eastAsia"/>
          <w:lang w:val="en-US" w:eastAsia="en-US"/>
        </w:rPr>
        <w:t>There are deficiencies in the current Guidelines</w:t>
      </w:r>
      <w:r>
        <w:rPr>
          <w:rFonts w:ascii="Calibri" w:hAnsi="Calibri" w:hint="eastAsia"/>
          <w:lang w:val="en-US" w:eastAsia="zh-CN"/>
        </w:rPr>
        <w:t xml:space="preserve"> </w:t>
      </w:r>
      <w:r>
        <w:rPr>
          <w:rFonts w:ascii="Calibri" w:hAnsi="Calibri" w:hint="eastAsia"/>
          <w:lang w:val="en-US" w:eastAsia="en-US"/>
        </w:rPr>
        <w:t>for the maintenance</w:t>
      </w:r>
      <w:r>
        <w:rPr>
          <w:rFonts w:ascii="Calibri" w:eastAsia="SimSun" w:hAnsi="Calibri" w:hint="eastAsia"/>
          <w:lang w:val="en-US" w:eastAsia="zh-CN"/>
        </w:rPr>
        <w:t xml:space="preserve"> of</w:t>
      </w:r>
      <w:r>
        <w:rPr>
          <w:rFonts w:ascii="Calibri" w:hAnsi="Calibri" w:hint="eastAsia"/>
          <w:lang w:val="en-US" w:eastAsia="zh-CN"/>
        </w:rPr>
        <w:t xml:space="preserve"> UHMWPE buoys. </w:t>
      </w:r>
      <w:r>
        <w:rPr>
          <w:rFonts w:ascii="Calibri" w:hAnsi="Calibri" w:hint="eastAsia"/>
          <w:lang w:val="en-US" w:eastAsia="en-US"/>
        </w:rPr>
        <w:t>Users may encounter difficulties when using the Guidelines</w:t>
      </w:r>
      <w:r>
        <w:rPr>
          <w:rFonts w:ascii="Calibri" w:hAnsi="Calibri" w:hint="eastAsia"/>
          <w:lang w:val="en-US" w:eastAsia="zh-CN"/>
        </w:rPr>
        <w:t xml:space="preserve"> </w:t>
      </w:r>
      <w:r>
        <w:rPr>
          <w:rFonts w:ascii="Calibri" w:hAnsi="Calibri" w:hint="eastAsia"/>
          <w:lang w:val="en-US" w:eastAsia="en-US"/>
        </w:rPr>
        <w:t>for buoy maintenance, w</w:t>
      </w:r>
      <w:r>
        <w:rPr>
          <w:rFonts w:ascii="Calibri" w:hAnsi="Calibri" w:hint="eastAsia"/>
          <w:lang w:val="en-US" w:eastAsia="en-US"/>
        </w:rPr>
        <w:t>hich affects the maintenance effectiveness of the buoys.</w:t>
      </w:r>
    </w:p>
    <w:p w14:paraId="322169FE" w14:textId="77777777" w:rsidR="00A538D7" w:rsidRDefault="00275B3F">
      <w:pPr>
        <w:pStyle w:val="BodyText"/>
        <w:jc w:val="left"/>
        <w:rPr>
          <w:rFonts w:ascii="Calibri" w:hAnsi="Calibri"/>
          <w:lang w:val="en-US" w:eastAsia="zh-CN"/>
        </w:rPr>
      </w:pPr>
      <w:r>
        <w:rPr>
          <w:rFonts w:ascii="Calibri" w:hAnsi="Calibri" w:hint="eastAsia"/>
          <w:lang w:val="en-US" w:eastAsia="zh-CN"/>
        </w:rPr>
        <w:t xml:space="preserve">Recommendation 1018 requires that implement systematic procedures for the design, maintenance, and safe and sustainable </w:t>
      </w:r>
      <w:r>
        <w:rPr>
          <w:rFonts w:ascii="Calibri" w:hAnsi="Calibri"/>
          <w:lang w:val="en-US" w:eastAsia="zh-CN"/>
        </w:rPr>
        <w:t xml:space="preserve">operation of their </w:t>
      </w:r>
      <w:r>
        <w:rPr>
          <w:rFonts w:ascii="Calibri" w:hAnsi="Calibri" w:hint="eastAsia"/>
          <w:lang w:val="en-US" w:eastAsia="zh-CN"/>
        </w:rPr>
        <w:t>m</w:t>
      </w:r>
      <w:r>
        <w:rPr>
          <w:rFonts w:ascii="Calibri" w:hAnsi="Calibri"/>
          <w:lang w:val="en-US" w:eastAsia="zh-CN"/>
        </w:rPr>
        <w:t xml:space="preserve">arine </w:t>
      </w:r>
      <w:r>
        <w:rPr>
          <w:rFonts w:ascii="Calibri" w:hAnsi="Calibri" w:hint="eastAsia"/>
          <w:lang w:val="en-US" w:eastAsia="zh-CN"/>
        </w:rPr>
        <w:t>a</w:t>
      </w:r>
      <w:r>
        <w:rPr>
          <w:rFonts w:ascii="Calibri" w:hAnsi="Calibri"/>
          <w:lang w:val="en-US" w:eastAsia="zh-CN"/>
        </w:rPr>
        <w:t xml:space="preserve">ids to </w:t>
      </w:r>
      <w:r>
        <w:rPr>
          <w:rFonts w:ascii="Calibri" w:hAnsi="Calibri" w:hint="eastAsia"/>
          <w:lang w:val="en-US" w:eastAsia="zh-CN"/>
        </w:rPr>
        <w:t>n</w:t>
      </w:r>
      <w:r>
        <w:rPr>
          <w:rFonts w:ascii="Calibri" w:hAnsi="Calibri"/>
          <w:lang w:val="en-US" w:eastAsia="zh-CN"/>
        </w:rPr>
        <w:t>avigation and associated equipment to meet o</w:t>
      </w:r>
      <w:r>
        <w:rPr>
          <w:rFonts w:ascii="Calibri" w:hAnsi="Calibri"/>
          <w:lang w:val="en-US" w:eastAsia="zh-CN"/>
        </w:rPr>
        <w:t>r exceed the required performance;</w:t>
      </w:r>
      <w:r>
        <w:rPr>
          <w:rFonts w:ascii="Calibri" w:hAnsi="Calibri" w:hint="eastAsia"/>
          <w:lang w:val="en-US" w:eastAsia="zh-CN"/>
        </w:rPr>
        <w:t xml:space="preserve"> The revision of G1077 under R1018 is conducive to more standardized maintenance of AtoN and achieving the performance required for UHMWPE buoys.</w:t>
      </w:r>
    </w:p>
    <w:p w14:paraId="46EC10E9" w14:textId="4269E0D2" w:rsidR="00A538D7" w:rsidRDefault="00275B3F">
      <w:pPr>
        <w:pStyle w:val="BodyText"/>
        <w:jc w:val="left"/>
        <w:rPr>
          <w:rFonts w:ascii="Calibri" w:hAnsi="Calibri"/>
          <w:lang w:val="en-US" w:eastAsia="zh-CN"/>
        </w:rPr>
      </w:pPr>
      <w:r>
        <w:rPr>
          <w:rFonts w:ascii="Calibri" w:hAnsi="Calibri" w:hint="eastAsia"/>
          <w:lang w:val="en-US" w:eastAsia="zh-CN"/>
        </w:rPr>
        <w:t>3.2The maintenance requirements for radar transponders mainly include: (1) A</w:t>
      </w:r>
      <w:r>
        <w:rPr>
          <w:rFonts w:ascii="Calibri" w:hAnsi="Calibri" w:hint="eastAsia"/>
          <w:lang w:val="en-US" w:eastAsia="zh-CN"/>
        </w:rPr>
        <w:t>ppearance: all components should not have obvious dents, scratches, cracks, deformation, and pollution, metal components should not have rust requirements, and the surface coating should be uniform, without bubbles, cracks, scratches, detachment, and wear,</w:t>
      </w:r>
      <w:r>
        <w:rPr>
          <w:rFonts w:ascii="Calibri" w:hAnsi="Calibri" w:hint="eastAsia"/>
          <w:lang w:val="en-US" w:eastAsia="zh-CN"/>
        </w:rPr>
        <w:t xml:space="preserve"> and fasteners should not be loose. (2) Installation method: It should be installed vertically, and the installation height should ensure that its geographical range matches the designed range of action, and the principle is that there are no obstructions </w:t>
      </w:r>
      <w:r>
        <w:rPr>
          <w:rFonts w:ascii="Calibri" w:hAnsi="Calibri" w:hint="eastAsia"/>
          <w:lang w:val="en-US" w:eastAsia="zh-CN"/>
        </w:rPr>
        <w:t xml:space="preserve">in the direction of action. The installation position should avoid vibration. (3) Voltage stabilizing equipment: The power supply part of the transponder should be equipped with voltage stabilizing equipment, and its rated power should be greater than 50% </w:t>
      </w:r>
      <w:r>
        <w:rPr>
          <w:rFonts w:ascii="Calibri" w:hAnsi="Calibri" w:hint="eastAsia"/>
          <w:lang w:val="en-US" w:eastAsia="zh-CN"/>
        </w:rPr>
        <w:t>of the requirements of the transponder; The output voltage should be stable at the standard value required by the transponder, and the fluctuation should be less than 5%. (4) Daily management: The management agency should arrange inspections twice a month,</w:t>
      </w:r>
      <w:r>
        <w:rPr>
          <w:rFonts w:ascii="Calibri" w:hAnsi="Calibri" w:hint="eastAsia"/>
          <w:lang w:val="en-US" w:eastAsia="zh-CN"/>
        </w:rPr>
        <w:t xml:space="preserve"> starting from a range of 1-5 nautical miles from the transponder using marine radar and ending at the maximum operating distance specified by the transponder, to scan and detect the corresponding transponder. The scanning time after searching for signals </w:t>
      </w:r>
      <w:r>
        <w:rPr>
          <w:rFonts w:ascii="Calibri" w:hAnsi="Calibri" w:hint="eastAsia"/>
          <w:lang w:val="en-US" w:eastAsia="zh-CN"/>
        </w:rPr>
        <w:t xml:space="preserve">should not be less than five minutes, and relevant forms should be filled </w:t>
      </w:r>
      <w:proofErr w:type="gramStart"/>
      <w:r>
        <w:rPr>
          <w:rFonts w:ascii="Calibri" w:hAnsi="Calibri" w:hint="eastAsia"/>
          <w:lang w:val="en-US" w:eastAsia="zh-CN"/>
        </w:rPr>
        <w:t>out</w:t>
      </w:r>
      <w:proofErr w:type="gramEnd"/>
      <w:r>
        <w:rPr>
          <w:rFonts w:ascii="Calibri" w:hAnsi="Calibri" w:hint="eastAsia"/>
          <w:lang w:val="en-US" w:eastAsia="zh-CN"/>
        </w:rPr>
        <w:t>.</w:t>
      </w:r>
    </w:p>
    <w:p w14:paraId="69519A1A" w14:textId="77777777" w:rsidR="00A538D7" w:rsidRDefault="00275B3F">
      <w:pPr>
        <w:rPr>
          <w:rFonts w:ascii="Calibri" w:hAnsi="Calibri"/>
        </w:rPr>
      </w:pPr>
      <w:r>
        <w:rPr>
          <w:rFonts w:ascii="Calibri" w:hAnsi="Calibri" w:hint="eastAsia"/>
          <w:lang w:val="en-US" w:eastAsia="zh-CN"/>
        </w:rPr>
        <w:lastRenderedPageBreak/>
        <w:t xml:space="preserve">At present, IALA has developed an upcoming working plan for 2023-2027, which also mentions updating information related to G1077 </w:t>
      </w:r>
      <w:r>
        <w:rPr>
          <w:rFonts w:ascii="Calibri" w:hAnsi="Calibri" w:hint="eastAsia"/>
          <w:i/>
          <w:iCs/>
          <w:lang w:val="en-US" w:eastAsia="zh-CN"/>
        </w:rPr>
        <w:t>Maintenance of Aids to Navigation</w:t>
      </w:r>
      <w:r>
        <w:rPr>
          <w:rFonts w:ascii="Calibri" w:hAnsi="Calibri" w:hint="eastAsia"/>
          <w:lang w:val="en-US" w:eastAsia="zh-CN"/>
        </w:rPr>
        <w:t xml:space="preserve"> to assist in d</w:t>
      </w:r>
      <w:r>
        <w:rPr>
          <w:rFonts w:ascii="Calibri" w:hAnsi="Calibri" w:hint="eastAsia"/>
          <w:lang w:val="en-US" w:eastAsia="zh-CN"/>
        </w:rPr>
        <w:t>eveloping maintenance strategies.</w:t>
      </w:r>
    </w:p>
    <w:p w14:paraId="7A91C104" w14:textId="77777777" w:rsidR="00A538D7" w:rsidRDefault="00275B3F">
      <w:pPr>
        <w:pStyle w:val="Heading1"/>
      </w:pPr>
      <w:r>
        <w:rPr>
          <w:rFonts w:eastAsia="SimSun" w:hint="eastAsia"/>
          <w:lang w:val="en-US" w:eastAsia="zh-CN"/>
        </w:rPr>
        <w:t>Application of UHMWPE buoys</w:t>
      </w:r>
    </w:p>
    <w:p w14:paraId="44A6B408" w14:textId="77777777" w:rsidR="00A538D7" w:rsidRDefault="00275B3F">
      <w:pPr>
        <w:pStyle w:val="BodyText"/>
        <w:jc w:val="left"/>
        <w:rPr>
          <w:rFonts w:ascii="Calibri" w:hAnsi="Calibri"/>
          <w:lang w:val="en-US" w:eastAsia="zh-CN"/>
        </w:rPr>
      </w:pPr>
      <w:r>
        <w:rPr>
          <w:rFonts w:ascii="Calibri" w:hAnsi="Calibri" w:hint="eastAsia"/>
          <w:lang w:val="en-US" w:eastAsia="zh-CN"/>
        </w:rPr>
        <w:t xml:space="preserve">4.1 UHMWPE buoys are suitable for various scenarios and are currently used in both inland waterways and sea. </w:t>
      </w:r>
      <w:proofErr w:type="gramStart"/>
      <w:r>
        <w:rPr>
          <w:rFonts w:ascii="Calibri" w:hAnsi="Calibri" w:hint="eastAsia"/>
          <w:lang w:val="en-US" w:eastAsia="zh-CN"/>
        </w:rPr>
        <w:t>The vast majority of</w:t>
      </w:r>
      <w:proofErr w:type="gramEnd"/>
      <w:r>
        <w:rPr>
          <w:rFonts w:ascii="Calibri" w:hAnsi="Calibri" w:hint="eastAsia"/>
          <w:lang w:val="en-US" w:eastAsia="zh-CN"/>
        </w:rPr>
        <w:t xml:space="preserve"> them are used in the ocean, accounting for about 80%, while inla</w:t>
      </w:r>
      <w:r>
        <w:rPr>
          <w:rFonts w:ascii="Calibri" w:hAnsi="Calibri" w:hint="eastAsia"/>
          <w:lang w:val="en-US" w:eastAsia="zh-CN"/>
        </w:rPr>
        <w:t xml:space="preserve">nd waterways account for about 20%. UHMWPE buoys can produce 7 kinds of buoys according to the standards of the IALA </w:t>
      </w:r>
      <w:r>
        <w:rPr>
          <w:rFonts w:ascii="Calibri" w:hAnsi="Calibri" w:hint="eastAsia"/>
          <w:i/>
          <w:iCs/>
          <w:lang w:val="en-US" w:eastAsia="zh-CN"/>
        </w:rPr>
        <w:t>Maritime Buoyage System</w:t>
      </w:r>
      <w:r>
        <w:rPr>
          <w:rFonts w:ascii="Calibri" w:hAnsi="Calibri" w:hint="eastAsia"/>
          <w:lang w:val="en-US" w:eastAsia="zh-CN"/>
        </w:rPr>
        <w:t xml:space="preserve">. Since 2020, about 2000 UHMWPE </w:t>
      </w:r>
      <w:proofErr w:type="gramStart"/>
      <w:r>
        <w:rPr>
          <w:rFonts w:ascii="Calibri" w:hAnsi="Calibri" w:hint="eastAsia"/>
          <w:lang w:val="en-US" w:eastAsia="zh-CN"/>
        </w:rPr>
        <w:t>buoys  have</w:t>
      </w:r>
      <w:proofErr w:type="gramEnd"/>
      <w:r>
        <w:rPr>
          <w:rFonts w:ascii="Calibri" w:hAnsi="Calibri" w:hint="eastAsia"/>
          <w:lang w:val="en-US" w:eastAsia="zh-CN"/>
        </w:rPr>
        <w:t xml:space="preserve"> been purchased and managed by domestic and foreign maritime traffic mana</w:t>
      </w:r>
      <w:r>
        <w:rPr>
          <w:rFonts w:ascii="Calibri" w:hAnsi="Calibri" w:hint="eastAsia"/>
          <w:lang w:val="en-US" w:eastAsia="zh-CN"/>
        </w:rPr>
        <w:t>gement departments, including lateral buoyage , cardinal buoyage , isolated danger buoyage, safe water buoyage, special buoyage, and emergency wreck buoyage, In addition, there are approximately 1000 UHMWPE buoys that belong to the procurement and manageme</w:t>
      </w:r>
      <w:r>
        <w:rPr>
          <w:rFonts w:ascii="Calibri" w:hAnsi="Calibri" w:hint="eastAsia"/>
          <w:lang w:val="en-US" w:eastAsia="zh-CN"/>
        </w:rPr>
        <w:t>nt of non transportation or private sectors, such as fisheries, meteorology, marine environment, etc.</w:t>
      </w:r>
    </w:p>
    <w:p w14:paraId="4A55813B" w14:textId="77777777" w:rsidR="00A538D7" w:rsidRDefault="00275B3F">
      <w:pPr>
        <w:pStyle w:val="BodyText"/>
        <w:jc w:val="center"/>
      </w:pPr>
      <w:r>
        <w:rPr>
          <w:noProof/>
        </w:rPr>
        <w:drawing>
          <wp:inline distT="0" distB="0" distL="114300" distR="114300" wp14:anchorId="03E47CF8" wp14:editId="6F9ADE54">
            <wp:extent cx="2860040" cy="2870200"/>
            <wp:effectExtent l="0" t="0" r="10160" b="0"/>
            <wp:docPr id="1" name="图片 1" descr="海口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海口2"/>
                    <pic:cNvPicPr>
                      <a:picLocks noChangeAspect="1"/>
                    </pic:cNvPicPr>
                  </pic:nvPicPr>
                  <pic:blipFill>
                    <a:blip r:embed="rId14"/>
                    <a:stretch>
                      <a:fillRect/>
                    </a:stretch>
                  </pic:blipFill>
                  <pic:spPr>
                    <a:xfrm>
                      <a:off x="0" y="0"/>
                      <a:ext cx="2860040" cy="2870200"/>
                    </a:xfrm>
                    <a:prstGeom prst="rect">
                      <a:avLst/>
                    </a:prstGeom>
                  </pic:spPr>
                </pic:pic>
              </a:graphicData>
            </a:graphic>
          </wp:inline>
        </w:drawing>
      </w:r>
      <w:r>
        <w:rPr>
          <w:noProof/>
        </w:rPr>
        <w:drawing>
          <wp:inline distT="0" distB="0" distL="114300" distR="114300" wp14:anchorId="23502B1D" wp14:editId="5592AEE8">
            <wp:extent cx="2636520" cy="2868295"/>
            <wp:effectExtent l="0" t="0" r="5080" b="1905"/>
            <wp:docPr id="5" name="图片 5" descr="海口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海口1"/>
                    <pic:cNvPicPr>
                      <a:picLocks noChangeAspect="1"/>
                    </pic:cNvPicPr>
                  </pic:nvPicPr>
                  <pic:blipFill>
                    <a:blip r:embed="rId15"/>
                    <a:stretch>
                      <a:fillRect/>
                    </a:stretch>
                  </pic:blipFill>
                  <pic:spPr>
                    <a:xfrm>
                      <a:off x="0" y="0"/>
                      <a:ext cx="2636520" cy="2868295"/>
                    </a:xfrm>
                    <a:prstGeom prst="rect">
                      <a:avLst/>
                    </a:prstGeom>
                  </pic:spPr>
                </pic:pic>
              </a:graphicData>
            </a:graphic>
          </wp:inline>
        </w:drawing>
      </w:r>
    </w:p>
    <w:p w14:paraId="4D4B849B" w14:textId="3E172DAB" w:rsidR="00A538D7" w:rsidRDefault="00275B3F">
      <w:pPr>
        <w:pStyle w:val="Figure"/>
        <w:rPr>
          <w:rFonts w:ascii="Calibri" w:hAnsi="Calibri"/>
        </w:rPr>
      </w:pPr>
      <w:r>
        <w:rPr>
          <w:rFonts w:ascii="Calibri" w:hAnsi="Calibri" w:hint="eastAsia"/>
          <w:lang w:val="en-US" w:eastAsia="zh-CN"/>
        </w:rPr>
        <w:t>UHMWPE buoys</w:t>
      </w:r>
      <w:r w:rsidR="00D7212F">
        <w:rPr>
          <w:rFonts w:ascii="Calibri" w:hAnsi="Calibri"/>
          <w:lang w:val="en-US" w:eastAsia="zh-CN"/>
        </w:rPr>
        <w:t xml:space="preserve"> </w:t>
      </w:r>
      <w:r>
        <w:rPr>
          <w:rFonts w:ascii="Calibri" w:hAnsi="Calibri" w:hint="eastAsia"/>
          <w:lang w:val="en-US" w:eastAsia="zh-CN"/>
        </w:rPr>
        <w:t>(</w:t>
      </w:r>
      <w:r>
        <w:rPr>
          <w:rFonts w:ascii="Calibri" w:hAnsi="Calibri" w:hint="eastAsia"/>
          <w:szCs w:val="22"/>
          <w:lang w:val="en-US" w:eastAsia="zh-CN"/>
        </w:rPr>
        <w:t>lateral buoyage)</w:t>
      </w:r>
    </w:p>
    <w:p w14:paraId="652B15C8" w14:textId="77777777" w:rsidR="00A538D7" w:rsidRDefault="00A538D7">
      <w:pPr>
        <w:rPr>
          <w:rFonts w:ascii="Calibri" w:hAnsi="Calibri"/>
          <w:lang w:val="en-US" w:eastAsia="zh-CN"/>
        </w:rPr>
      </w:pPr>
    </w:p>
    <w:p w14:paraId="40EF93F1" w14:textId="77777777" w:rsidR="00A538D7" w:rsidRDefault="00A538D7">
      <w:pPr>
        <w:rPr>
          <w:rFonts w:ascii="Calibri" w:hAnsi="Calibri"/>
          <w:lang w:val="en-US" w:eastAsia="zh-CN"/>
        </w:rPr>
      </w:pPr>
    </w:p>
    <w:p w14:paraId="420B48D0" w14:textId="77777777" w:rsidR="00A538D7" w:rsidRDefault="00275B3F">
      <w:pPr>
        <w:jc w:val="center"/>
        <w:rPr>
          <w:rFonts w:ascii="Times New Roman" w:eastAsia="FangSong_GB2312" w:hAnsi="FangSong_GB2312" w:cs="Times New Roman"/>
          <w:color w:val="FF0000"/>
          <w:sz w:val="32"/>
          <w:szCs w:val="32"/>
        </w:rPr>
      </w:pPr>
      <w:r>
        <w:rPr>
          <w:rFonts w:ascii="Times New Roman" w:eastAsia="FangSong_GB2312" w:hAnsi="FangSong_GB2312" w:cs="Times New Roman"/>
          <w:noProof/>
          <w:color w:val="FF0000"/>
          <w:sz w:val="32"/>
          <w:szCs w:val="32"/>
        </w:rPr>
        <w:lastRenderedPageBreak/>
        <w:drawing>
          <wp:inline distT="0" distB="0" distL="0" distR="0" wp14:anchorId="774CDD09" wp14:editId="5AC88B8B">
            <wp:extent cx="3280410" cy="2857500"/>
            <wp:effectExtent l="0" t="0" r="0" b="8890"/>
            <wp:docPr id="17" name="图片 17" descr="在水里&#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在水里&#10;&#10;描述已自动生成"/>
                    <pic:cNvPicPr>
                      <a:picLocks noChangeAspect="1"/>
                    </pic:cNvPicPr>
                  </pic:nvPicPr>
                  <pic:blipFill>
                    <a:blip r:embed="rId16"/>
                    <a:stretch>
                      <a:fillRect/>
                    </a:stretch>
                  </pic:blipFill>
                  <pic:spPr>
                    <a:xfrm rot="5400000">
                      <a:off x="0" y="0"/>
                      <a:ext cx="3280410" cy="2857500"/>
                    </a:xfrm>
                    <a:prstGeom prst="rect">
                      <a:avLst/>
                    </a:prstGeom>
                  </pic:spPr>
                </pic:pic>
              </a:graphicData>
            </a:graphic>
          </wp:inline>
        </w:drawing>
      </w:r>
      <w:r>
        <w:rPr>
          <w:rFonts w:ascii="Times New Roman" w:eastAsia="FangSong_GB2312" w:hAnsi="FangSong_GB2312" w:cs="Times New Roman"/>
          <w:noProof/>
          <w:color w:val="FF0000"/>
          <w:sz w:val="32"/>
          <w:szCs w:val="32"/>
        </w:rPr>
        <w:drawing>
          <wp:inline distT="0" distB="0" distL="0" distR="0" wp14:anchorId="5A9E3547" wp14:editId="026EC036">
            <wp:extent cx="2662555" cy="3284855"/>
            <wp:effectExtent l="0" t="0" r="4445" b="4445"/>
            <wp:docPr id="13" name="图片 13" descr="水中的船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水中的船上&#10;&#10;描述已自动生成"/>
                    <pic:cNvPicPr>
                      <a:picLocks noChangeAspect="1"/>
                    </pic:cNvPicPr>
                  </pic:nvPicPr>
                  <pic:blipFill>
                    <a:blip r:embed="rId17"/>
                    <a:stretch>
                      <a:fillRect/>
                    </a:stretch>
                  </pic:blipFill>
                  <pic:spPr>
                    <a:xfrm>
                      <a:off x="0" y="0"/>
                      <a:ext cx="2662555" cy="3284855"/>
                    </a:xfrm>
                    <a:prstGeom prst="rect">
                      <a:avLst/>
                    </a:prstGeom>
                  </pic:spPr>
                </pic:pic>
              </a:graphicData>
            </a:graphic>
          </wp:inline>
        </w:drawing>
      </w:r>
    </w:p>
    <w:p w14:paraId="45F5193F" w14:textId="1A3FCA59" w:rsidR="00A538D7" w:rsidRDefault="00275B3F">
      <w:pPr>
        <w:pStyle w:val="Figure"/>
        <w:rPr>
          <w:rFonts w:ascii="Calibri" w:hAnsi="Calibri"/>
        </w:rPr>
      </w:pPr>
      <w:r>
        <w:rPr>
          <w:rFonts w:ascii="Calibri" w:hAnsi="Calibri" w:hint="eastAsia"/>
          <w:lang w:val="en-US" w:eastAsia="zh-CN"/>
        </w:rPr>
        <w:t>UHMWPE buoys</w:t>
      </w:r>
      <w:r w:rsidR="00D7212F">
        <w:rPr>
          <w:rFonts w:ascii="Calibri" w:hAnsi="Calibri"/>
          <w:lang w:val="en-US" w:eastAsia="zh-CN"/>
        </w:rPr>
        <w:t xml:space="preserve"> </w:t>
      </w:r>
      <w:r>
        <w:rPr>
          <w:rFonts w:ascii="Calibri" w:hAnsi="Calibri" w:hint="eastAsia"/>
          <w:lang w:val="en-US" w:eastAsia="zh-CN"/>
        </w:rPr>
        <w:t>(</w:t>
      </w:r>
      <w:r>
        <w:rPr>
          <w:rFonts w:ascii="Calibri" w:hAnsi="Calibri" w:hint="eastAsia"/>
          <w:szCs w:val="22"/>
          <w:lang w:val="en-US" w:eastAsia="zh-CN"/>
        </w:rPr>
        <w:t>cardinal buoyage and special buoyage)</w:t>
      </w:r>
    </w:p>
    <w:p w14:paraId="66D65CE0" w14:textId="77777777" w:rsidR="00A538D7" w:rsidRDefault="00A538D7">
      <w:pPr>
        <w:jc w:val="center"/>
        <w:rPr>
          <w:rFonts w:ascii="Times New Roman" w:eastAsia="FangSong_GB2312" w:hAnsi="FangSong_GB2312" w:cs="Times New Roman"/>
          <w:color w:val="FF0000"/>
          <w:sz w:val="32"/>
          <w:szCs w:val="32"/>
        </w:rPr>
      </w:pPr>
    </w:p>
    <w:p w14:paraId="48B5F928" w14:textId="72E2A9BC" w:rsidR="00A538D7" w:rsidRDefault="00275B3F">
      <w:pPr>
        <w:pStyle w:val="BodyText"/>
        <w:jc w:val="left"/>
        <w:rPr>
          <w:rFonts w:ascii="Calibri" w:hAnsi="Calibri"/>
          <w:lang w:val="en-US" w:eastAsia="zh-CN"/>
        </w:rPr>
      </w:pPr>
      <w:r>
        <w:rPr>
          <w:rFonts w:ascii="Calibri" w:hAnsi="Calibri" w:hint="eastAsia"/>
          <w:lang w:val="en-US" w:eastAsia="zh-CN"/>
        </w:rPr>
        <w:t>4.2 In addition, according to the classification standard of other mark in the IALA Maritime Buoyage System, light beacons and large navigational buoys made of UHMWPE material are widely purchased and applied domestically and internationally. The light bea</w:t>
      </w:r>
      <w:r>
        <w:rPr>
          <w:rFonts w:ascii="Calibri" w:hAnsi="Calibri" w:hint="eastAsia"/>
          <w:lang w:val="en-US" w:eastAsia="zh-CN"/>
        </w:rPr>
        <w:t xml:space="preserve">cons made of UHMWPE can not only resist class 12 typhoon, but also resist fading and have maintenance-free </w:t>
      </w:r>
      <w:proofErr w:type="gramStart"/>
      <w:r>
        <w:rPr>
          <w:rFonts w:ascii="Calibri" w:hAnsi="Calibri" w:hint="eastAsia"/>
          <w:lang w:val="en-US" w:eastAsia="zh-CN"/>
        </w:rPr>
        <w:t>resistance, and</w:t>
      </w:r>
      <w:proofErr w:type="gramEnd"/>
      <w:r>
        <w:rPr>
          <w:rFonts w:ascii="Calibri" w:hAnsi="Calibri" w:hint="eastAsia"/>
          <w:lang w:val="en-US" w:eastAsia="zh-CN"/>
        </w:rPr>
        <w:t xml:space="preserve"> can be modular designed with simple handling and installation. It also has obvious advantages in installation on islands, reefs, and </w:t>
      </w:r>
      <w:r>
        <w:rPr>
          <w:rFonts w:ascii="Calibri" w:hAnsi="Calibri" w:hint="eastAsia"/>
          <w:lang w:val="en-US" w:eastAsia="zh-CN"/>
        </w:rPr>
        <w:t xml:space="preserve">other areas with inconvenient transportation. There are many scenarios for the application of UHMWPE light beacons, </w:t>
      </w:r>
      <w:proofErr w:type="gramStart"/>
      <w:r>
        <w:rPr>
          <w:rFonts w:ascii="Calibri" w:hAnsi="Calibri" w:hint="eastAsia"/>
          <w:lang w:val="en-US" w:eastAsia="zh-CN"/>
        </w:rPr>
        <w:t>At</w:t>
      </w:r>
      <w:proofErr w:type="gramEnd"/>
      <w:r>
        <w:rPr>
          <w:rFonts w:ascii="Calibri" w:hAnsi="Calibri" w:hint="eastAsia"/>
          <w:lang w:val="en-US" w:eastAsia="zh-CN"/>
        </w:rPr>
        <w:t xml:space="preserve"> present, domestic and foreign maritime traffic management departments have purchased and managed UHMWPE light beacons, which are applied </w:t>
      </w:r>
      <w:r>
        <w:rPr>
          <w:rFonts w:ascii="Calibri" w:hAnsi="Calibri" w:hint="eastAsia"/>
          <w:lang w:val="en-US" w:eastAsia="zh-CN"/>
        </w:rPr>
        <w:t xml:space="preserve">to islands, dark sand and other areas. </w:t>
      </w:r>
      <w:r>
        <w:rPr>
          <w:rFonts w:ascii="Calibri" w:hAnsi="Calibri"/>
          <w:lang w:val="en-US" w:eastAsia="zh-CN"/>
        </w:rPr>
        <w:t xml:space="preserve">There are about 1000 large light </w:t>
      </w:r>
      <w:r>
        <w:rPr>
          <w:rFonts w:ascii="Calibri" w:hAnsi="Calibri" w:hint="eastAsia"/>
          <w:lang w:val="en-US" w:eastAsia="zh-CN"/>
        </w:rPr>
        <w:t>beacon</w:t>
      </w:r>
      <w:r>
        <w:rPr>
          <w:rFonts w:ascii="Calibri" w:hAnsi="Calibri"/>
          <w:lang w:val="en-US" w:eastAsia="zh-CN"/>
        </w:rPr>
        <w:t xml:space="preserve">s with a height exceeding 8 meters, and about 2000 </w:t>
      </w:r>
      <w:r>
        <w:rPr>
          <w:rFonts w:ascii="Calibri" w:hAnsi="Calibri" w:hint="eastAsia"/>
          <w:lang w:val="en-US" w:eastAsia="zh-CN"/>
        </w:rPr>
        <w:t>UHMWPE light beacons</w:t>
      </w:r>
      <w:r>
        <w:rPr>
          <w:rFonts w:ascii="Calibri" w:hAnsi="Calibri"/>
          <w:lang w:val="en-US" w:eastAsia="zh-CN"/>
        </w:rPr>
        <w:t xml:space="preserve"> are purchased for use in scenarios such as bridges, docks, and breakwaters. In addition, more than 5000 </w:t>
      </w:r>
      <w:r>
        <w:rPr>
          <w:rFonts w:ascii="Calibri" w:hAnsi="Calibri" w:hint="eastAsia"/>
          <w:lang w:val="en-US" w:eastAsia="zh-CN"/>
        </w:rPr>
        <w:t>UH</w:t>
      </w:r>
      <w:r>
        <w:rPr>
          <w:rFonts w:ascii="Calibri" w:hAnsi="Calibri" w:hint="eastAsia"/>
          <w:lang w:val="en-US" w:eastAsia="zh-CN"/>
        </w:rPr>
        <w:t>MWPE light beacons</w:t>
      </w:r>
      <w:r>
        <w:rPr>
          <w:rFonts w:ascii="Calibri" w:hAnsi="Calibri"/>
          <w:lang w:val="en-US" w:eastAsia="zh-CN"/>
        </w:rPr>
        <w:t xml:space="preserve"> are purchased and managed in offshore wind power, offshore oil and gas, nuclear power construction engineering, and other fields. In some areas, steel light </w:t>
      </w:r>
      <w:r>
        <w:rPr>
          <w:rFonts w:ascii="Calibri" w:hAnsi="Calibri" w:hint="eastAsia"/>
          <w:lang w:val="en-US" w:eastAsia="zh-CN"/>
        </w:rPr>
        <w:t>beacon</w:t>
      </w:r>
      <w:r>
        <w:rPr>
          <w:rFonts w:ascii="Calibri" w:hAnsi="Calibri"/>
          <w:lang w:val="en-US" w:eastAsia="zh-CN"/>
        </w:rPr>
        <w:t>s have been completely replaced.</w:t>
      </w:r>
    </w:p>
    <w:p w14:paraId="08245012" w14:textId="77777777" w:rsidR="00A538D7" w:rsidRDefault="00A538D7">
      <w:pPr>
        <w:pStyle w:val="BodyText"/>
        <w:jc w:val="left"/>
        <w:rPr>
          <w:rFonts w:ascii="Calibri" w:hAnsi="Calibri"/>
          <w:lang w:val="en-US" w:eastAsia="zh-CN"/>
        </w:rPr>
      </w:pPr>
    </w:p>
    <w:p w14:paraId="74208286" w14:textId="77777777" w:rsidR="00A538D7" w:rsidRDefault="00275B3F">
      <w:pPr>
        <w:pStyle w:val="BodyText"/>
        <w:jc w:val="center"/>
        <w:rPr>
          <w:rFonts w:ascii="Times New Roman" w:eastAsia="FangSong_GB2312" w:hAnsi="FangSong_GB2312" w:cs="Times New Roman"/>
          <w:color w:val="FF0000"/>
          <w:sz w:val="32"/>
          <w:szCs w:val="32"/>
        </w:rPr>
      </w:pPr>
      <w:r>
        <w:rPr>
          <w:rFonts w:ascii="Times New Roman" w:eastAsia="FangSong_GB2312" w:hAnsi="FangSong_GB2312" w:cs="Times New Roman"/>
          <w:noProof/>
          <w:color w:val="FF0000"/>
          <w:sz w:val="32"/>
          <w:szCs w:val="32"/>
        </w:rPr>
        <w:lastRenderedPageBreak/>
        <w:drawing>
          <wp:inline distT="0" distB="0" distL="0" distR="0" wp14:anchorId="6DD07BCE" wp14:editId="722A83C6">
            <wp:extent cx="2900045" cy="3446780"/>
            <wp:effectExtent l="0" t="0" r="825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rcRect t="6042" b="16525"/>
                    <a:stretch>
                      <a:fillRect/>
                    </a:stretch>
                  </pic:blipFill>
                  <pic:spPr>
                    <a:xfrm>
                      <a:off x="0" y="0"/>
                      <a:ext cx="2900045" cy="3446780"/>
                    </a:xfrm>
                    <a:prstGeom prst="rect">
                      <a:avLst/>
                    </a:prstGeom>
                    <a:ln>
                      <a:noFill/>
                    </a:ln>
                  </pic:spPr>
                </pic:pic>
              </a:graphicData>
            </a:graphic>
          </wp:inline>
        </w:drawing>
      </w:r>
      <w:r>
        <w:rPr>
          <w:rFonts w:ascii="Times New Roman" w:eastAsia="FangSong_GB2312" w:hAnsi="FangSong_GB2312" w:cs="Times New Roman"/>
          <w:noProof/>
          <w:color w:val="FF0000"/>
          <w:sz w:val="32"/>
          <w:szCs w:val="32"/>
        </w:rPr>
        <w:drawing>
          <wp:inline distT="0" distB="0" distL="0" distR="0" wp14:anchorId="640E3019" wp14:editId="0F5821F3">
            <wp:extent cx="2881630" cy="3448685"/>
            <wp:effectExtent l="0" t="0" r="127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
                    <a:stretch>
                      <a:fillRect/>
                    </a:stretch>
                  </pic:blipFill>
                  <pic:spPr>
                    <a:xfrm>
                      <a:off x="0" y="0"/>
                      <a:ext cx="2881630" cy="3448685"/>
                    </a:xfrm>
                    <a:prstGeom prst="rect">
                      <a:avLst/>
                    </a:prstGeom>
                  </pic:spPr>
                </pic:pic>
              </a:graphicData>
            </a:graphic>
          </wp:inline>
        </w:drawing>
      </w:r>
    </w:p>
    <w:p w14:paraId="1E3C5388" w14:textId="1C4267EA" w:rsidR="00A538D7" w:rsidRDefault="00275B3F">
      <w:pPr>
        <w:pStyle w:val="Figure"/>
        <w:rPr>
          <w:rFonts w:ascii="Calibri" w:hAnsi="Calibri"/>
        </w:rPr>
      </w:pPr>
      <w:r>
        <w:rPr>
          <w:rFonts w:ascii="Calibri" w:hAnsi="Calibri" w:hint="eastAsia"/>
          <w:lang w:val="en-US" w:eastAsia="zh-CN"/>
        </w:rPr>
        <w:t>UHMWPE</w:t>
      </w:r>
      <w:r>
        <w:rPr>
          <w:rFonts w:ascii="Calibri" w:hAnsi="Calibri"/>
          <w:szCs w:val="22"/>
          <w:lang w:val="en-US" w:eastAsia="zh-CN"/>
        </w:rPr>
        <w:t xml:space="preserve"> light </w:t>
      </w:r>
      <w:r>
        <w:rPr>
          <w:rFonts w:ascii="Calibri" w:hAnsi="Calibri" w:hint="eastAsia"/>
          <w:szCs w:val="22"/>
          <w:lang w:val="en-US" w:eastAsia="zh-CN"/>
        </w:rPr>
        <w:t>beacon</w:t>
      </w:r>
      <w:r>
        <w:rPr>
          <w:rFonts w:ascii="Calibri" w:hAnsi="Calibri"/>
          <w:szCs w:val="22"/>
          <w:lang w:val="en-US" w:eastAsia="zh-CN"/>
        </w:rPr>
        <w:t>s</w:t>
      </w:r>
    </w:p>
    <w:p w14:paraId="0B5D3DD5" w14:textId="77777777" w:rsidR="00A538D7" w:rsidRDefault="00A538D7">
      <w:pPr>
        <w:pStyle w:val="BodyText"/>
        <w:jc w:val="center"/>
        <w:rPr>
          <w:rFonts w:ascii="Times New Roman" w:eastAsia="FangSong_GB2312" w:hAnsi="FangSong_GB2312" w:cs="Times New Roman"/>
          <w:color w:val="FF0000"/>
          <w:sz w:val="32"/>
          <w:szCs w:val="32"/>
          <w:lang w:val="en-US" w:eastAsia="zh-CN"/>
        </w:rPr>
      </w:pPr>
    </w:p>
    <w:p w14:paraId="1319DB6A" w14:textId="77777777" w:rsidR="00A538D7" w:rsidRDefault="00275B3F">
      <w:pPr>
        <w:pStyle w:val="Heading1"/>
      </w:pPr>
      <w:r>
        <w:rPr>
          <w:rFonts w:eastAsia="SimSun" w:hint="eastAsia"/>
          <w:lang w:val="en-US" w:eastAsia="zh-CN"/>
        </w:rPr>
        <w:t>Proposal</w:t>
      </w:r>
    </w:p>
    <w:p w14:paraId="62032C7A" w14:textId="3A993C99" w:rsidR="00A538D7" w:rsidRDefault="00275B3F">
      <w:pPr>
        <w:pStyle w:val="BodyText"/>
        <w:jc w:val="left"/>
        <w:rPr>
          <w:rFonts w:ascii="Calibri" w:hAnsi="Calibri"/>
          <w:lang w:val="en-US" w:eastAsia="zh-CN"/>
        </w:rPr>
      </w:pPr>
      <w:r>
        <w:rPr>
          <w:rFonts w:ascii="Calibri" w:hAnsi="Calibri" w:hint="eastAsia"/>
          <w:lang w:val="en-US" w:eastAsia="zh-CN"/>
        </w:rPr>
        <w:t xml:space="preserve">Considering that the IALA Committee has developed an upcoming working plan for 2023-2027, which also mentions updating information related to G1077 </w:t>
      </w:r>
      <w:r>
        <w:rPr>
          <w:rFonts w:ascii="Calibri" w:hAnsi="Calibri" w:hint="eastAsia"/>
          <w:i/>
          <w:iCs/>
          <w:lang w:val="en-US" w:eastAsia="zh-CN"/>
        </w:rPr>
        <w:t>Maintenance of Aids to Navigation</w:t>
      </w:r>
      <w:r>
        <w:rPr>
          <w:rFonts w:ascii="Calibri" w:hAnsi="Calibri" w:hint="eastAsia"/>
          <w:lang w:val="en-US" w:eastAsia="zh-CN"/>
        </w:rPr>
        <w:t xml:space="preserve"> to assist in developing maintenance strategies. Therefore, it is recommend</w:t>
      </w:r>
      <w:r>
        <w:rPr>
          <w:rFonts w:ascii="Calibri" w:hAnsi="Calibri" w:hint="eastAsia"/>
          <w:lang w:val="en-US" w:eastAsia="zh-CN"/>
        </w:rPr>
        <w:t>ed that the ENG committee refer to the content discussed in the third part and the application in the fourth part above to add content on the maintenance of UHMWPE buoys in Appendix A2.2 of the Guideline, and enrich and improve the guidance under Recommend</w:t>
      </w:r>
      <w:r>
        <w:rPr>
          <w:rFonts w:ascii="Calibri" w:hAnsi="Calibri" w:hint="eastAsia"/>
          <w:lang w:val="en-US" w:eastAsia="zh-CN"/>
        </w:rPr>
        <w:t xml:space="preserve">ation 1018, </w:t>
      </w:r>
      <w:proofErr w:type="gramStart"/>
      <w:r>
        <w:rPr>
          <w:rFonts w:ascii="Calibri" w:hAnsi="Calibri" w:hint="eastAsia"/>
          <w:lang w:val="en-US" w:eastAsia="zh-CN"/>
        </w:rPr>
        <w:t>in order to</w:t>
      </w:r>
      <w:proofErr w:type="gramEnd"/>
      <w:r>
        <w:rPr>
          <w:rFonts w:ascii="Calibri" w:hAnsi="Calibri" w:hint="eastAsia"/>
          <w:lang w:val="en-US" w:eastAsia="zh-CN"/>
        </w:rPr>
        <w:t xml:space="preserve"> ensure the comprehensive objectivity of the maintenance introduction of non-steel buoys in the Guideline.</w:t>
      </w:r>
      <w:r w:rsidR="00D7212F">
        <w:rPr>
          <w:rFonts w:ascii="Calibri" w:hAnsi="Calibri"/>
          <w:lang w:val="en-US" w:eastAsia="zh-CN"/>
        </w:rPr>
        <w:t xml:space="preserve"> </w:t>
      </w:r>
      <w:r>
        <w:rPr>
          <w:rFonts w:ascii="Calibri" w:hAnsi="Calibri" w:hint="eastAsia"/>
          <w:lang w:val="en-US" w:eastAsia="zh-CN"/>
        </w:rPr>
        <w:t xml:space="preserve">Add relevant content on radar transponder maintenance in Appendix </w:t>
      </w:r>
      <w:proofErr w:type="gramStart"/>
      <w:r>
        <w:rPr>
          <w:rFonts w:ascii="Calibri" w:hAnsi="Calibri" w:hint="eastAsia"/>
          <w:lang w:val="en-US" w:eastAsia="zh-CN"/>
        </w:rPr>
        <w:t>D, and</w:t>
      </w:r>
      <w:proofErr w:type="gramEnd"/>
      <w:r>
        <w:rPr>
          <w:rFonts w:ascii="Calibri" w:hAnsi="Calibri" w:hint="eastAsia"/>
          <w:lang w:val="en-US" w:eastAsia="zh-CN"/>
        </w:rPr>
        <w:t xml:space="preserve"> improve the types of navigation aids in the Guide.</w:t>
      </w:r>
    </w:p>
    <w:p w14:paraId="2ECE1C4A" w14:textId="77777777" w:rsidR="00A538D7" w:rsidRDefault="00275B3F">
      <w:pPr>
        <w:pStyle w:val="Heading1"/>
        <w:rPr>
          <w:rFonts w:eastAsia="SimSun"/>
          <w:lang w:val="en-US" w:eastAsia="zh-CN"/>
        </w:rPr>
      </w:pPr>
      <w:r>
        <w:rPr>
          <w:rFonts w:eastAsia="SimSun" w:hint="eastAsia"/>
          <w:lang w:val="en-US" w:eastAsia="zh-CN"/>
        </w:rPr>
        <w:t>Ac</w:t>
      </w:r>
      <w:r>
        <w:rPr>
          <w:rFonts w:eastAsia="SimSun" w:hint="eastAsia"/>
          <w:lang w:val="en-US" w:eastAsia="zh-CN"/>
        </w:rPr>
        <w:t>tion requested of the Committee</w:t>
      </w:r>
    </w:p>
    <w:p w14:paraId="341FFFCD" w14:textId="1B9A275B" w:rsidR="00A538D7" w:rsidRDefault="00275B3F">
      <w:pPr>
        <w:pStyle w:val="BodyText"/>
        <w:jc w:val="left"/>
        <w:rPr>
          <w:rFonts w:ascii="Calibri" w:hAnsi="Calibri"/>
          <w:lang w:eastAsia="en-US"/>
        </w:rPr>
      </w:pPr>
      <w:r>
        <w:rPr>
          <w:rFonts w:ascii="Calibri" w:hAnsi="Calibri" w:hint="eastAsia"/>
          <w:lang w:val="en-US" w:eastAsia="zh-CN"/>
        </w:rPr>
        <w:t xml:space="preserve">The ENG Committee is invited to consider the proposal in part 5 and </w:t>
      </w:r>
      <w:proofErr w:type="gramStart"/>
      <w:r>
        <w:rPr>
          <w:rFonts w:ascii="Calibri" w:hAnsi="Calibri" w:hint="eastAsia"/>
          <w:lang w:val="en-US" w:eastAsia="zh-CN"/>
        </w:rPr>
        <w:t>take action</w:t>
      </w:r>
      <w:proofErr w:type="gramEnd"/>
      <w:r>
        <w:rPr>
          <w:rFonts w:ascii="Calibri" w:hAnsi="Calibri" w:hint="eastAsia"/>
          <w:lang w:val="en-US" w:eastAsia="zh-CN"/>
        </w:rPr>
        <w:t xml:space="preserve"> as appropriate.</w:t>
      </w:r>
    </w:p>
    <w:sectPr w:rsidR="00A538D7">
      <w:headerReference w:type="default" r:id="rId20"/>
      <w:footerReference w:type="defaul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908DE" w14:textId="77777777" w:rsidR="00E41F73" w:rsidRDefault="00E41F73">
      <w:r>
        <w:separator/>
      </w:r>
    </w:p>
  </w:endnote>
  <w:endnote w:type="continuationSeparator" w:id="0">
    <w:p w14:paraId="30A28203" w14:textId="77777777" w:rsidR="00E41F73" w:rsidRDefault="00E41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old">
    <w:altName w:val="Arial"/>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仿宋"/>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B8664" w14:textId="77777777" w:rsidR="00A538D7" w:rsidRDefault="00275B3F">
    <w:pPr>
      <w:pStyle w:val="Footer"/>
      <w:rPr>
        <w:rFonts w:ascii="Calibri" w:hAnsi="Calibri"/>
      </w:rPr>
    </w:pPr>
    <w:r>
      <w:rPr>
        <w:rFonts w:ascii="Calibri" w:hAnsi="Calibri"/>
        <w:sz w:val="20"/>
        <w:szCs w:val="20"/>
      </w:rPr>
      <w:t>Input paper title</w:t>
    </w:r>
    <w:r>
      <w:rPr>
        <w:rFonts w:ascii="Calibri" w:hAnsi="Calibri"/>
      </w:rPr>
      <w:tab/>
    </w:r>
    <w:r>
      <w:rPr>
        <w:rFonts w:ascii="Calibri" w:hAnsi="Calibri"/>
      </w:rPr>
      <w:fldChar w:fldCharType="begin"/>
    </w:r>
    <w:r>
      <w:rPr>
        <w:rFonts w:ascii="Calibri" w:hAnsi="Calibri"/>
      </w:rPr>
      <w:instrText xml:space="preserve"> PAGE   \* MERGEFORMAT </w:instrText>
    </w:r>
    <w:r>
      <w:rPr>
        <w:rFonts w:ascii="Calibri" w:hAnsi="Calibri"/>
      </w:rPr>
      <w:fldChar w:fldCharType="separate"/>
    </w:r>
    <w:r>
      <w:rPr>
        <w:rFonts w:ascii="Calibri" w:hAnsi="Calibri"/>
      </w:rPr>
      <w:t>5</w:t>
    </w:r>
    <w:r>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075BF4" w14:textId="77777777" w:rsidR="00E41F73" w:rsidRDefault="00E41F73">
      <w:r>
        <w:separator/>
      </w:r>
    </w:p>
  </w:footnote>
  <w:footnote w:type="continuationSeparator" w:id="0">
    <w:p w14:paraId="7AA824AF" w14:textId="77777777" w:rsidR="00E41F73" w:rsidRDefault="00E41F73">
      <w:r>
        <w:continuationSeparator/>
      </w:r>
    </w:p>
  </w:footnote>
  <w:footnote w:id="1">
    <w:p w14:paraId="75B76ECF" w14:textId="77777777" w:rsidR="00A538D7" w:rsidRDefault="00275B3F">
      <w:pPr>
        <w:pStyle w:val="FootnoteText"/>
        <w:rPr>
          <w:lang w:val="en-US"/>
        </w:rPr>
      </w:pPr>
      <w:r>
        <w:rPr>
          <w:rStyle w:val="FootnoteReference"/>
        </w:rPr>
        <w:footnoteRef/>
      </w:r>
      <w:r>
        <w:t xml:space="preserve"> </w:t>
      </w:r>
      <w:r>
        <w:rPr>
          <w:sz w:val="16"/>
          <w:szCs w:val="16"/>
        </w:rPr>
        <w:t>Input document number, to be assigned by the Committee Secretary</w:t>
      </w:r>
    </w:p>
  </w:footnote>
  <w:footnote w:id="2">
    <w:p w14:paraId="1922E381" w14:textId="77777777" w:rsidR="00A538D7" w:rsidRDefault="00275B3F">
      <w:pPr>
        <w:pStyle w:val="FootnoteText"/>
      </w:pPr>
      <w:r>
        <w:rPr>
          <w:rStyle w:val="FootnoteReference"/>
        </w:rPr>
        <w:footnoteRef/>
      </w:r>
      <w:r>
        <w:t xml:space="preserve"> </w:t>
      </w:r>
      <w:r>
        <w:rPr>
          <w:sz w:val="16"/>
          <w:szCs w:val="16"/>
        </w:rPr>
        <w:t>Leav</w:t>
      </w:r>
      <w:r>
        <w:rPr>
          <w:sz w:val="16"/>
          <w:szCs w:val="16"/>
        </w:rPr>
        <w:t xml:space="preserve">e open if </w:t>
      </w:r>
      <w:proofErr w:type="gramStart"/>
      <w:r>
        <w:rPr>
          <w:sz w:val="16"/>
          <w:szCs w:val="16"/>
        </w:rPr>
        <w:t>uncertain</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1B0555" w14:textId="77777777" w:rsidR="00A538D7" w:rsidRDefault="00275B3F">
    <w:pPr>
      <w:pStyle w:val="Header"/>
      <w:jc w:val="right"/>
    </w:pPr>
    <w:r>
      <w:rPr>
        <w:noProof/>
      </w:rPr>
      <w:drawing>
        <wp:anchor distT="0" distB="0" distL="114300" distR="114300" simplePos="0" relativeHeight="251657216" behindDoc="0" locked="0" layoutInCell="1" allowOverlap="1" wp14:anchorId="431B2C36" wp14:editId="047BF1A8">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pict w14:anchorId="50A864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3074" type="#_x0000_t136" style="position:absolute;left:0;text-align:left;margin-left:0;margin-top:0;width:623.85pt;height:65.65pt;rotation:315;z-index:-251658240;mso-position-horizontal:center;mso-position-horizontal-relative:margin;mso-position-vertical:center;mso-position-vertical-relative:margin;mso-width-relative:page;mso-height-relative:page" o:allowincell="f" fillcolor="silver" stroked="f">
          <v:fill opacity=".5"/>
          <v:textpath style="font-family:&quot;Arial&quot;;font-size:1pt" fitpath="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multilevel"/>
    <w:tmpl w:val="03A21C71"/>
    <w:lvl w:ilvl="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vanish w:val="0"/>
        <w:color w:val="4F81BD" w:themeColor="accent1"/>
        <w:spacing w:val="0"/>
        <w:w w:val="0"/>
        <w:kern w:val="0"/>
        <w:position w:val="0"/>
        <w:sz w:val="24"/>
        <w:szCs w:val="24"/>
        <w:u w:val="none" w:color="000000"/>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19C37E91"/>
    <w:lvl w:ilvl="0">
      <w:start w:val="1"/>
      <w:numFmt w:val="decimal"/>
      <w:pStyle w:val="Heading1"/>
      <w:lvlText w:val="%1"/>
      <w:lvlJc w:val="left"/>
      <w:pPr>
        <w:tabs>
          <w:tab w:val="left" w:pos="567"/>
        </w:tabs>
        <w:ind w:left="567" w:hanging="567"/>
      </w:pPr>
      <w:rPr>
        <w:rFonts w:hint="default"/>
      </w:rPr>
    </w:lvl>
    <w:lvl w:ilvl="1">
      <w:start w:val="1"/>
      <w:numFmt w:val="decimal"/>
      <w:pStyle w:val="Heading2"/>
      <w:lvlText w:val="%1.%2"/>
      <w:lvlJc w:val="left"/>
      <w:pPr>
        <w:tabs>
          <w:tab w:val="left" w:pos="851"/>
        </w:tabs>
        <w:ind w:left="851" w:hanging="851"/>
      </w:pPr>
      <w:rPr>
        <w:rFonts w:hint="default"/>
      </w:rPr>
    </w:lvl>
    <w:lvl w:ilvl="2">
      <w:start w:val="1"/>
      <w:numFmt w:val="decimal"/>
      <w:pStyle w:val="Heading3"/>
      <w:lvlText w:val="%1.%2.%3"/>
      <w:lvlJc w:val="left"/>
      <w:pPr>
        <w:tabs>
          <w:tab w:val="left" w:pos="992"/>
        </w:tabs>
        <w:ind w:left="992" w:hanging="992"/>
      </w:pPr>
      <w:rPr>
        <w:rFonts w:hint="default"/>
      </w:rPr>
    </w:lvl>
    <w:lvl w:ilvl="3">
      <w:start w:val="1"/>
      <w:numFmt w:val="decimal"/>
      <w:pStyle w:val="Heading4"/>
      <w:lvlText w:val="%1.%2.%3.%4"/>
      <w:lvlJc w:val="left"/>
      <w:pPr>
        <w:tabs>
          <w:tab w:val="left" w:pos="1134"/>
        </w:tabs>
        <w:ind w:left="1134" w:hanging="113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E6B4F5D"/>
    <w:multiLevelType w:val="multilevel"/>
    <w:tmpl w:val="3E6B4F5D"/>
    <w:lvl w:ilvl="0">
      <w:start w:val="1"/>
      <w:numFmt w:val="decimal"/>
      <w:pStyle w:val="equation"/>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6"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Arial" w:hAnsi="Arial"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0"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1"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60585238"/>
    <w:multiLevelType w:val="multilevel"/>
    <w:tmpl w:val="60585238"/>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4"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645165199">
    <w:abstractNumId w:val="2"/>
  </w:num>
  <w:num w:numId="2" w16cid:durableId="27998479">
    <w:abstractNumId w:val="12"/>
  </w:num>
  <w:num w:numId="3" w16cid:durableId="977732455">
    <w:abstractNumId w:val="8"/>
  </w:num>
  <w:num w:numId="4" w16cid:durableId="320281891">
    <w:abstractNumId w:val="1"/>
  </w:num>
  <w:num w:numId="5" w16cid:durableId="51345772">
    <w:abstractNumId w:val="14"/>
  </w:num>
  <w:num w:numId="6" w16cid:durableId="1987466108">
    <w:abstractNumId w:val="10"/>
  </w:num>
  <w:num w:numId="7" w16cid:durableId="949630342">
    <w:abstractNumId w:val="9"/>
  </w:num>
  <w:num w:numId="8" w16cid:durableId="1884630035">
    <w:abstractNumId w:val="7"/>
  </w:num>
  <w:num w:numId="9" w16cid:durableId="1838108562">
    <w:abstractNumId w:val="13"/>
  </w:num>
  <w:num w:numId="10" w16cid:durableId="1774978685">
    <w:abstractNumId w:val="6"/>
  </w:num>
  <w:num w:numId="11" w16cid:durableId="1229071353">
    <w:abstractNumId w:val="11"/>
  </w:num>
  <w:num w:numId="12" w16cid:durableId="8722968">
    <w:abstractNumId w:val="3"/>
  </w:num>
  <w:num w:numId="13" w16cid:durableId="1734809404">
    <w:abstractNumId w:val="4"/>
  </w:num>
  <w:num w:numId="14" w16cid:durableId="1297881383">
    <w:abstractNumId w:val="5"/>
  </w:num>
  <w:num w:numId="15" w16cid:durableId="15471089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displayBackgroundShape/>
  <w:bordersDoNotSurroundHeader/>
  <w:bordersDoNotSurroundFooter/>
  <w:proofState w:grammar="clean"/>
  <w:defaultTabStop w:val="720"/>
  <w:hyphenationZone w:val="425"/>
  <w:drawingGridHorizontalSpacing w:val="120"/>
  <w:noPunctuationKerning/>
  <w:characterSpacingControl w:val="doNotCompress"/>
  <w:hdrShapeDefaults>
    <o:shapedefaults v:ext="edit" spidmax="3075"/>
    <o:shapelayout v:ext="edit">
      <o:idmap v:ext="edit" data="1,3"/>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I0ZWYwZDhlYzQ4NWU4ODdiODNjOWFkNGY4NWUzOTYifQ=="/>
    <w:docVar w:name="KSO_WPS_MARK_KEY" w:val="28a6cd4e-1b0c-46a3-b44d-e50a6609a7da"/>
  </w:docVars>
  <w:rsids>
    <w:rsidRoot w:val="00FE5674"/>
    <w:rsid w:val="000005D3"/>
    <w:rsid w:val="000049D8"/>
    <w:rsid w:val="00026AAB"/>
    <w:rsid w:val="00036A03"/>
    <w:rsid w:val="00036B9E"/>
    <w:rsid w:val="00037DF4"/>
    <w:rsid w:val="0004700E"/>
    <w:rsid w:val="00070C13"/>
    <w:rsid w:val="000715C9"/>
    <w:rsid w:val="00084F33"/>
    <w:rsid w:val="000A77A7"/>
    <w:rsid w:val="000B1707"/>
    <w:rsid w:val="000C1B3E"/>
    <w:rsid w:val="000C349E"/>
    <w:rsid w:val="00110AE7"/>
    <w:rsid w:val="00177F4D"/>
    <w:rsid w:val="00180DDA"/>
    <w:rsid w:val="001B2A2D"/>
    <w:rsid w:val="001B737D"/>
    <w:rsid w:val="001C44A3"/>
    <w:rsid w:val="001E0E15"/>
    <w:rsid w:val="001F528A"/>
    <w:rsid w:val="001F704E"/>
    <w:rsid w:val="00201722"/>
    <w:rsid w:val="002125B0"/>
    <w:rsid w:val="00243228"/>
    <w:rsid w:val="00251483"/>
    <w:rsid w:val="00255CAA"/>
    <w:rsid w:val="00264305"/>
    <w:rsid w:val="00275B3F"/>
    <w:rsid w:val="002A0346"/>
    <w:rsid w:val="002A4487"/>
    <w:rsid w:val="002B49E9"/>
    <w:rsid w:val="002C632E"/>
    <w:rsid w:val="002D3E8B"/>
    <w:rsid w:val="002D4575"/>
    <w:rsid w:val="002D5C0C"/>
    <w:rsid w:val="002E03D1"/>
    <w:rsid w:val="002E6B74"/>
    <w:rsid w:val="002E6FCA"/>
    <w:rsid w:val="00356CD0"/>
    <w:rsid w:val="00362CD9"/>
    <w:rsid w:val="003761CA"/>
    <w:rsid w:val="00380DAF"/>
    <w:rsid w:val="003972CE"/>
    <w:rsid w:val="003B28F5"/>
    <w:rsid w:val="003B7B7D"/>
    <w:rsid w:val="003C54CB"/>
    <w:rsid w:val="003C7A2A"/>
    <w:rsid w:val="003D2DC1"/>
    <w:rsid w:val="003D69D0"/>
    <w:rsid w:val="003F2918"/>
    <w:rsid w:val="003F430E"/>
    <w:rsid w:val="0041088C"/>
    <w:rsid w:val="00412DD0"/>
    <w:rsid w:val="00420A38"/>
    <w:rsid w:val="00431B19"/>
    <w:rsid w:val="004661AD"/>
    <w:rsid w:val="004A6C1D"/>
    <w:rsid w:val="004D1D85"/>
    <w:rsid w:val="004D3C3A"/>
    <w:rsid w:val="004E1CD1"/>
    <w:rsid w:val="004F7EFC"/>
    <w:rsid w:val="005107EB"/>
    <w:rsid w:val="00511277"/>
    <w:rsid w:val="00521345"/>
    <w:rsid w:val="00526DF0"/>
    <w:rsid w:val="00545CC4"/>
    <w:rsid w:val="00551FFF"/>
    <w:rsid w:val="005607A2"/>
    <w:rsid w:val="0057198B"/>
    <w:rsid w:val="00573CFE"/>
    <w:rsid w:val="0057460F"/>
    <w:rsid w:val="005969F2"/>
    <w:rsid w:val="00597FAE"/>
    <w:rsid w:val="005B32A3"/>
    <w:rsid w:val="005C0D44"/>
    <w:rsid w:val="005C566C"/>
    <w:rsid w:val="005C7E69"/>
    <w:rsid w:val="005E262D"/>
    <w:rsid w:val="005F23D3"/>
    <w:rsid w:val="005F7E20"/>
    <w:rsid w:val="00605E43"/>
    <w:rsid w:val="006153BB"/>
    <w:rsid w:val="006652C3"/>
    <w:rsid w:val="00691FD0"/>
    <w:rsid w:val="00692148"/>
    <w:rsid w:val="006A1A1E"/>
    <w:rsid w:val="006C5948"/>
    <w:rsid w:val="006D3734"/>
    <w:rsid w:val="006F2A74"/>
    <w:rsid w:val="007000D4"/>
    <w:rsid w:val="007118F5"/>
    <w:rsid w:val="00712AA4"/>
    <w:rsid w:val="007146C4"/>
    <w:rsid w:val="00721AA1"/>
    <w:rsid w:val="00724B67"/>
    <w:rsid w:val="007547F8"/>
    <w:rsid w:val="00765622"/>
    <w:rsid w:val="0076743A"/>
    <w:rsid w:val="00770B6C"/>
    <w:rsid w:val="00783FEA"/>
    <w:rsid w:val="007A395D"/>
    <w:rsid w:val="007B6BD5"/>
    <w:rsid w:val="007C346C"/>
    <w:rsid w:val="007D1101"/>
    <w:rsid w:val="007E6479"/>
    <w:rsid w:val="0080294B"/>
    <w:rsid w:val="0082480E"/>
    <w:rsid w:val="00850293"/>
    <w:rsid w:val="00851373"/>
    <w:rsid w:val="00851BA6"/>
    <w:rsid w:val="0085654D"/>
    <w:rsid w:val="00861160"/>
    <w:rsid w:val="0086654F"/>
    <w:rsid w:val="008A356F"/>
    <w:rsid w:val="008A4653"/>
    <w:rsid w:val="008A4717"/>
    <w:rsid w:val="008A50CC"/>
    <w:rsid w:val="008B3040"/>
    <w:rsid w:val="008C574F"/>
    <w:rsid w:val="008D1694"/>
    <w:rsid w:val="008D6C1F"/>
    <w:rsid w:val="008D79CB"/>
    <w:rsid w:val="008F07BC"/>
    <w:rsid w:val="0091760D"/>
    <w:rsid w:val="0092692B"/>
    <w:rsid w:val="00930062"/>
    <w:rsid w:val="00930561"/>
    <w:rsid w:val="00943E9C"/>
    <w:rsid w:val="00953F4D"/>
    <w:rsid w:val="00960BB8"/>
    <w:rsid w:val="00964F5C"/>
    <w:rsid w:val="00973B57"/>
    <w:rsid w:val="00975900"/>
    <w:rsid w:val="009831C0"/>
    <w:rsid w:val="0099161D"/>
    <w:rsid w:val="009D1A67"/>
    <w:rsid w:val="00A0389B"/>
    <w:rsid w:val="00A115B2"/>
    <w:rsid w:val="00A33A3C"/>
    <w:rsid w:val="00A3506F"/>
    <w:rsid w:val="00A446C9"/>
    <w:rsid w:val="00A538D7"/>
    <w:rsid w:val="00A634DC"/>
    <w:rsid w:val="00A635D6"/>
    <w:rsid w:val="00A84420"/>
    <w:rsid w:val="00A8553A"/>
    <w:rsid w:val="00A93AED"/>
    <w:rsid w:val="00AE1319"/>
    <w:rsid w:val="00AE34BB"/>
    <w:rsid w:val="00B00A18"/>
    <w:rsid w:val="00B226F2"/>
    <w:rsid w:val="00B274DF"/>
    <w:rsid w:val="00B56BDF"/>
    <w:rsid w:val="00B65812"/>
    <w:rsid w:val="00B766DC"/>
    <w:rsid w:val="00B85CD6"/>
    <w:rsid w:val="00B90A27"/>
    <w:rsid w:val="00B9554D"/>
    <w:rsid w:val="00BB2B9F"/>
    <w:rsid w:val="00BB7D9E"/>
    <w:rsid w:val="00BC2334"/>
    <w:rsid w:val="00BD3CB8"/>
    <w:rsid w:val="00BD4E6F"/>
    <w:rsid w:val="00BF32F0"/>
    <w:rsid w:val="00BF4DCE"/>
    <w:rsid w:val="00C05CE5"/>
    <w:rsid w:val="00C6171E"/>
    <w:rsid w:val="00CA6F2C"/>
    <w:rsid w:val="00CD6A13"/>
    <w:rsid w:val="00CF1871"/>
    <w:rsid w:val="00D01874"/>
    <w:rsid w:val="00D019CE"/>
    <w:rsid w:val="00D1133E"/>
    <w:rsid w:val="00D17A34"/>
    <w:rsid w:val="00D26628"/>
    <w:rsid w:val="00D332B3"/>
    <w:rsid w:val="00D55207"/>
    <w:rsid w:val="00D7212F"/>
    <w:rsid w:val="00D81801"/>
    <w:rsid w:val="00D92B45"/>
    <w:rsid w:val="00D95962"/>
    <w:rsid w:val="00DC389B"/>
    <w:rsid w:val="00DE2FEE"/>
    <w:rsid w:val="00DF1467"/>
    <w:rsid w:val="00E00BE9"/>
    <w:rsid w:val="00E22A11"/>
    <w:rsid w:val="00E31E5C"/>
    <w:rsid w:val="00E41F73"/>
    <w:rsid w:val="00E44DD2"/>
    <w:rsid w:val="00E558C3"/>
    <w:rsid w:val="00E55927"/>
    <w:rsid w:val="00E60540"/>
    <w:rsid w:val="00E77122"/>
    <w:rsid w:val="00E912A6"/>
    <w:rsid w:val="00EA4844"/>
    <w:rsid w:val="00EA4D9C"/>
    <w:rsid w:val="00EA5A97"/>
    <w:rsid w:val="00EB2248"/>
    <w:rsid w:val="00EB75EE"/>
    <w:rsid w:val="00EE3384"/>
    <w:rsid w:val="00EE3CC5"/>
    <w:rsid w:val="00EE4C1D"/>
    <w:rsid w:val="00EF3685"/>
    <w:rsid w:val="00F04350"/>
    <w:rsid w:val="00F133DB"/>
    <w:rsid w:val="00F159EB"/>
    <w:rsid w:val="00F25BF4"/>
    <w:rsid w:val="00F267DB"/>
    <w:rsid w:val="00F46F6F"/>
    <w:rsid w:val="00F60608"/>
    <w:rsid w:val="00F62217"/>
    <w:rsid w:val="00FB17A9"/>
    <w:rsid w:val="00FB527C"/>
    <w:rsid w:val="00FB6F75"/>
    <w:rsid w:val="00FB7D03"/>
    <w:rsid w:val="00FC0EB3"/>
    <w:rsid w:val="00FD675E"/>
    <w:rsid w:val="00FE5674"/>
    <w:rsid w:val="06B17D9A"/>
    <w:rsid w:val="0723622D"/>
    <w:rsid w:val="093323E8"/>
    <w:rsid w:val="0B0A7DB9"/>
    <w:rsid w:val="22E82678"/>
    <w:rsid w:val="2FAB04F6"/>
    <w:rsid w:val="31B330B4"/>
    <w:rsid w:val="3E3801A2"/>
    <w:rsid w:val="4D7D04C3"/>
    <w:rsid w:val="4F960D05"/>
    <w:rsid w:val="6DA079B8"/>
    <w:rsid w:val="79ED1A1C"/>
    <w:rsid w:val="7E5B1CD3"/>
    <w:rsid w:val="7F8372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5"/>
    <o:shapelayout v:ext="edit">
      <o:idmap v:ext="edit" data="2"/>
    </o:shapelayout>
  </w:shapeDefaults>
  <w:decimalSymbol w:val=","/>
  <w:listSeparator w:val=";"/>
  <w14:docId w14:val="36D78596"/>
  <w15:docId w15:val="{E70BE180-E6AA-4AF6-97C8-C30F5397E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nhideWhenUsed="1"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Calibri" w:hAnsi="Arial" w:cs="Calibri"/>
      <w:sz w:val="22"/>
      <w:szCs w:val="22"/>
      <w:lang w:val="en-GB" w:eastAsia="en-GB"/>
    </w:rPr>
  </w:style>
  <w:style w:type="paragraph" w:styleId="Heading1">
    <w:name w:val="heading 1"/>
    <w:basedOn w:val="Normal"/>
    <w:next w:val="BodyText"/>
    <w:link w:val="Heading1Char"/>
    <w:qFormat/>
    <w:pPr>
      <w:keepNext/>
      <w:numPr>
        <w:numId w:val="1"/>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pPr>
      <w:numPr>
        <w:ilvl w:val="1"/>
        <w:numId w:val="1"/>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pPr>
      <w:keepNext/>
      <w:numPr>
        <w:ilvl w:val="2"/>
        <w:numId w:val="1"/>
      </w:numPr>
      <w:spacing w:before="120" w:after="120"/>
      <w:outlineLvl w:val="2"/>
    </w:pPr>
    <w:rPr>
      <w:szCs w:val="20"/>
      <w:lang w:eastAsia="de-DE"/>
    </w:rPr>
  </w:style>
  <w:style w:type="paragraph" w:styleId="Heading4">
    <w:name w:val="heading 4"/>
    <w:basedOn w:val="Normal"/>
    <w:next w:val="BodyTextIndent"/>
    <w:link w:val="Heading4Char"/>
    <w:qFormat/>
    <w:pPr>
      <w:keepNext/>
      <w:numPr>
        <w:ilvl w:val="3"/>
        <w:numId w:val="1"/>
      </w:numPr>
      <w:spacing w:before="120" w:after="120"/>
      <w:outlineLvl w:val="3"/>
    </w:pPr>
    <w:rPr>
      <w:szCs w:val="20"/>
      <w:lang w:val="en-US" w:eastAsia="de-DE"/>
    </w:rPr>
  </w:style>
  <w:style w:type="paragraph" w:styleId="Heading5">
    <w:name w:val="heading 5"/>
    <w:basedOn w:val="Normal"/>
    <w:next w:val="Normal"/>
    <w:link w:val="Heading5Char"/>
    <w:qFormat/>
    <w:pPr>
      <w:numPr>
        <w:ilvl w:val="4"/>
        <w:numId w:val="1"/>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pPr>
      <w:numPr>
        <w:ilvl w:val="5"/>
        <w:numId w:val="1"/>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pPr>
      <w:numPr>
        <w:ilvl w:val="6"/>
        <w:numId w:val="1"/>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pPr>
      <w:numPr>
        <w:ilvl w:val="7"/>
        <w:numId w:val="1"/>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pPr>
      <w:numPr>
        <w:ilvl w:val="8"/>
        <w:numId w:val="1"/>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jc w:val="both"/>
    </w:pPr>
  </w:style>
  <w:style w:type="paragraph" w:styleId="BodyTextIndent">
    <w:name w:val="Body Text Indent"/>
    <w:basedOn w:val="Normal"/>
    <w:link w:val="BodyTextIndentChar"/>
    <w:qFormat/>
    <w:pPr>
      <w:spacing w:after="120"/>
      <w:ind w:left="567"/>
    </w:pPr>
  </w:style>
  <w:style w:type="paragraph" w:styleId="BodyTextIndent2">
    <w:name w:val="Body Text Indent 2"/>
    <w:basedOn w:val="Normal"/>
    <w:link w:val="BodyTextIndent2Char"/>
    <w:qFormat/>
    <w:pPr>
      <w:spacing w:after="120"/>
      <w:ind w:left="1134"/>
      <w:jc w:val="both"/>
    </w:pPr>
    <w:rPr>
      <w:lang w:eastAsia="de-DE"/>
    </w:rPr>
  </w:style>
  <w:style w:type="paragraph" w:styleId="TOC7">
    <w:name w:val="toc 7"/>
    <w:basedOn w:val="Normal"/>
    <w:next w:val="Normal"/>
    <w:semiHidden/>
    <w:qFormat/>
    <w:pPr>
      <w:ind w:left="1200"/>
    </w:pPr>
    <w:rPr>
      <w:sz w:val="20"/>
      <w:szCs w:val="20"/>
    </w:rPr>
  </w:style>
  <w:style w:type="paragraph" w:styleId="CommentText">
    <w:name w:val="annotation text"/>
    <w:basedOn w:val="Normal"/>
    <w:link w:val="CommentTextChar"/>
    <w:uiPriority w:val="99"/>
    <w:semiHidden/>
    <w:unhideWhenUsed/>
    <w:qFormat/>
    <w:rPr>
      <w:sz w:val="20"/>
      <w:szCs w:val="20"/>
    </w:rPr>
  </w:style>
  <w:style w:type="paragraph" w:styleId="TOC5">
    <w:name w:val="toc 5"/>
    <w:basedOn w:val="Normal"/>
    <w:next w:val="Normal"/>
    <w:semiHidden/>
    <w:qFormat/>
    <w:pPr>
      <w:ind w:left="880"/>
    </w:pPr>
    <w:rPr>
      <w:rFonts w:ascii="Times New Roman" w:eastAsia="Times New Roman" w:hAnsi="Times New Roman" w:cs="Times New Roman"/>
      <w:szCs w:val="24"/>
      <w:lang w:eastAsia="en-US"/>
    </w:rPr>
  </w:style>
  <w:style w:type="paragraph" w:styleId="TOC3">
    <w:name w:val="toc 3"/>
    <w:basedOn w:val="Normal"/>
    <w:next w:val="Normal"/>
    <w:uiPriority w:val="39"/>
    <w:qFormat/>
    <w:pPr>
      <w:tabs>
        <w:tab w:val="left" w:pos="2268"/>
        <w:tab w:val="right" w:pos="9639"/>
      </w:tabs>
      <w:ind w:left="2268" w:right="284" w:hanging="850"/>
    </w:pPr>
    <w:rPr>
      <w:rFonts w:ascii="Calibri" w:eastAsia="Times New Roman" w:hAnsi="Calibri" w:cs="Times New Roman"/>
    </w:rPr>
  </w:style>
  <w:style w:type="paragraph" w:styleId="TOC8">
    <w:name w:val="toc 8"/>
    <w:basedOn w:val="Normal"/>
    <w:next w:val="Normal"/>
    <w:semiHidden/>
    <w:qFormat/>
    <w:pPr>
      <w:ind w:left="1440"/>
    </w:pPr>
    <w:rPr>
      <w:sz w:val="20"/>
      <w:szCs w:val="20"/>
    </w:r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Normal"/>
    <w:link w:val="FooterChar"/>
    <w:qFormat/>
    <w:pPr>
      <w:tabs>
        <w:tab w:val="center" w:pos="4820"/>
        <w:tab w:val="right" w:pos="9639"/>
      </w:tabs>
    </w:pPr>
  </w:style>
  <w:style w:type="paragraph" w:styleId="Header">
    <w:name w:val="header"/>
    <w:basedOn w:val="Normal"/>
    <w:link w:val="HeaderChar"/>
    <w:qFormat/>
    <w:pPr>
      <w:tabs>
        <w:tab w:val="center" w:pos="4820"/>
        <w:tab w:val="right" w:pos="9639"/>
      </w:tabs>
    </w:pPr>
  </w:style>
  <w:style w:type="paragraph" w:styleId="TOC1">
    <w:name w:val="toc 1"/>
    <w:basedOn w:val="Normal"/>
    <w:next w:val="Normal"/>
    <w:uiPriority w:val="39"/>
    <w:qFormat/>
    <w:pPr>
      <w:tabs>
        <w:tab w:val="left" w:pos="567"/>
        <w:tab w:val="right" w:pos="9639"/>
      </w:tabs>
      <w:spacing w:before="120"/>
      <w:ind w:right="284"/>
    </w:pPr>
    <w:rPr>
      <w:rFonts w:eastAsia="Times New Roman" w:cs="Arial"/>
      <w:bCs/>
      <w:iCs/>
      <w:caps/>
      <w:lang w:eastAsia="en-US"/>
    </w:rPr>
  </w:style>
  <w:style w:type="paragraph" w:styleId="TOC4">
    <w:name w:val="toc 4"/>
    <w:basedOn w:val="Normal"/>
    <w:next w:val="Normal"/>
    <w:uiPriority w:val="39"/>
    <w:qFormat/>
    <w:pPr>
      <w:tabs>
        <w:tab w:val="left" w:pos="1418"/>
        <w:tab w:val="right" w:pos="9639"/>
      </w:tabs>
      <w:spacing w:before="120" w:after="120"/>
      <w:ind w:left="1418" w:right="284" w:hanging="1418"/>
    </w:pPr>
    <w:rPr>
      <w:rFonts w:eastAsia="Times New Roman" w:cs="Times New Roman"/>
      <w:b/>
      <w:caps/>
      <w:szCs w:val="24"/>
      <w:lang w:eastAsia="en-US"/>
    </w:rPr>
  </w:style>
  <w:style w:type="paragraph" w:styleId="Subtitle">
    <w:name w:val="Subtitle"/>
    <w:basedOn w:val="Normal"/>
    <w:link w:val="SubtitleChar"/>
    <w:qFormat/>
    <w:pPr>
      <w:spacing w:after="60"/>
      <w:jc w:val="center"/>
      <w:outlineLvl w:val="1"/>
    </w:pPr>
    <w:rPr>
      <w:rFonts w:cs="Arial"/>
    </w:rPr>
  </w:style>
  <w:style w:type="paragraph" w:styleId="FootnoteText">
    <w:name w:val="footnote text"/>
    <w:basedOn w:val="Normal"/>
    <w:link w:val="FootnoteTextChar"/>
    <w:semiHidden/>
    <w:qFormat/>
    <w:rPr>
      <w:sz w:val="20"/>
      <w:szCs w:val="20"/>
    </w:rPr>
  </w:style>
  <w:style w:type="paragraph" w:styleId="TOC6">
    <w:name w:val="toc 6"/>
    <w:basedOn w:val="Normal"/>
    <w:next w:val="Normal"/>
    <w:semiHidden/>
    <w:qFormat/>
    <w:pPr>
      <w:ind w:left="1100"/>
    </w:pPr>
    <w:rPr>
      <w:rFonts w:ascii="Times New Roman" w:eastAsia="Times New Roman" w:hAnsi="Times New Roman" w:cs="Times New Roman"/>
      <w:szCs w:val="24"/>
      <w:lang w:eastAsia="en-US"/>
    </w:rPr>
  </w:style>
  <w:style w:type="paragraph" w:styleId="TableofFigures">
    <w:name w:val="table of figures"/>
    <w:basedOn w:val="Normal"/>
    <w:next w:val="Normal"/>
    <w:uiPriority w:val="99"/>
    <w:qFormat/>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Normal"/>
    <w:next w:val="Normal"/>
    <w:uiPriority w:val="39"/>
    <w:qFormat/>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Normal"/>
    <w:next w:val="Normal"/>
    <w:semiHidden/>
    <w:qFormat/>
    <w:pPr>
      <w:ind w:left="1680"/>
    </w:pPr>
    <w:rPr>
      <w:sz w:val="20"/>
      <w:szCs w:val="20"/>
    </w:rPr>
  </w:style>
  <w:style w:type="paragraph" w:styleId="NormalWeb">
    <w:name w:val="Normal (Web)"/>
    <w:basedOn w:val="Normal"/>
    <w:uiPriority w:val="99"/>
    <w:semiHidden/>
    <w:unhideWhenUsed/>
    <w:qFormat/>
    <w:rPr>
      <w:sz w:val="24"/>
    </w:rPr>
  </w:style>
  <w:style w:type="paragraph" w:styleId="Title">
    <w:name w:val="Title"/>
    <w:basedOn w:val="Normal"/>
    <w:next w:val="Normal"/>
    <w:link w:val="TitleChar"/>
    <w:qFormat/>
    <w:pPr>
      <w:spacing w:before="120" w:after="240"/>
      <w:jc w:val="center"/>
      <w:outlineLvl w:val="0"/>
    </w:pPr>
    <w:rPr>
      <w:rFonts w:cs="Arial"/>
      <w:b/>
      <w:bCs/>
      <w:kern w:val="28"/>
      <w:sz w:val="32"/>
      <w:szCs w:val="3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qFormat/>
  </w:style>
  <w:style w:type="character" w:styleId="Hyperlink">
    <w:name w:val="Hyperlink"/>
    <w:uiPriority w:val="99"/>
    <w:qFormat/>
    <w:rPr>
      <w:vertAlign w:val="baselin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semiHidden/>
    <w:qFormat/>
    <w:rPr>
      <w:rFonts w:ascii="Arial" w:hAnsi="Arial"/>
      <w:sz w:val="16"/>
    </w:rPr>
  </w:style>
  <w:style w:type="character" w:customStyle="1" w:styleId="Heading1Char">
    <w:name w:val="Heading 1 Char"/>
    <w:link w:val="Heading1"/>
    <w:qFormat/>
    <w:rPr>
      <w:rFonts w:cs="Calibri"/>
      <w:b/>
      <w:caps/>
      <w:color w:val="0070C0"/>
      <w:kern w:val="28"/>
      <w:sz w:val="24"/>
      <w:szCs w:val="22"/>
      <w:lang w:eastAsia="de-DE"/>
    </w:rPr>
  </w:style>
  <w:style w:type="character" w:customStyle="1" w:styleId="Heading2Char">
    <w:name w:val="Heading 2 Char"/>
    <w:link w:val="Heading2"/>
    <w:qFormat/>
    <w:rPr>
      <w:rFonts w:cs="Calibri"/>
      <w:b/>
      <w:color w:val="0070C0"/>
      <w:sz w:val="24"/>
      <w:szCs w:val="24"/>
    </w:rPr>
  </w:style>
  <w:style w:type="paragraph" w:customStyle="1" w:styleId="Annex">
    <w:name w:val="Annex"/>
    <w:basedOn w:val="Heading1"/>
    <w:next w:val="Normal"/>
    <w:qFormat/>
    <w:pPr>
      <w:numPr>
        <w:numId w:val="2"/>
      </w:numPr>
      <w:tabs>
        <w:tab w:val="left" w:pos="1701"/>
      </w:tabs>
      <w:jc w:val="both"/>
    </w:pPr>
    <w:rPr>
      <w:snapToGrid w:val="0"/>
      <w:kern w:val="0"/>
      <w:lang w:eastAsia="en-GB"/>
    </w:rPr>
  </w:style>
  <w:style w:type="paragraph" w:customStyle="1" w:styleId="AnnexFigure">
    <w:name w:val="Annex Figure"/>
    <w:basedOn w:val="Normal"/>
    <w:next w:val="Normal"/>
    <w:qFormat/>
    <w:pPr>
      <w:numPr>
        <w:numId w:val="3"/>
      </w:numPr>
      <w:spacing w:before="120" w:after="120"/>
      <w:jc w:val="center"/>
    </w:pPr>
    <w:rPr>
      <w:i/>
    </w:rPr>
  </w:style>
  <w:style w:type="paragraph" w:customStyle="1" w:styleId="AnnexHeading1">
    <w:name w:val="Annex Heading 1"/>
    <w:basedOn w:val="Normal"/>
    <w:next w:val="BodyText"/>
    <w:qFormat/>
    <w:pPr>
      <w:numPr>
        <w:numId w:val="4"/>
      </w:numPr>
      <w:spacing w:before="120" w:after="120"/>
    </w:pPr>
    <w:rPr>
      <w:rFonts w:cs="Arial"/>
      <w:b/>
      <w:caps/>
      <w:sz w:val="24"/>
    </w:rPr>
  </w:style>
  <w:style w:type="paragraph" w:customStyle="1" w:styleId="AnnexHeading2">
    <w:name w:val="Annex Heading 2"/>
    <w:basedOn w:val="Normal"/>
    <w:next w:val="BodyText"/>
    <w:qFormat/>
    <w:pPr>
      <w:numPr>
        <w:ilvl w:val="1"/>
        <w:numId w:val="4"/>
      </w:numPr>
      <w:spacing w:before="120" w:after="120"/>
    </w:pPr>
    <w:rPr>
      <w:rFonts w:cs="Arial"/>
      <w:b/>
    </w:rPr>
  </w:style>
  <w:style w:type="paragraph" w:customStyle="1" w:styleId="AnnexHeading3">
    <w:name w:val="Annex Heading 3"/>
    <w:basedOn w:val="Normal"/>
    <w:next w:val="Normal"/>
    <w:qFormat/>
    <w:pPr>
      <w:numPr>
        <w:ilvl w:val="2"/>
        <w:numId w:val="4"/>
      </w:numPr>
      <w:spacing w:before="120" w:after="120"/>
    </w:pPr>
    <w:rPr>
      <w:rFonts w:cs="Arial"/>
    </w:rPr>
  </w:style>
  <w:style w:type="paragraph" w:customStyle="1" w:styleId="AnnexHeading4">
    <w:name w:val="Annex Heading 4"/>
    <w:basedOn w:val="Normal"/>
    <w:next w:val="BodyText"/>
    <w:qFormat/>
    <w:pPr>
      <w:numPr>
        <w:ilvl w:val="3"/>
        <w:numId w:val="4"/>
      </w:numPr>
      <w:spacing w:before="120" w:after="120"/>
    </w:pPr>
    <w:rPr>
      <w:rFonts w:cs="Arial"/>
    </w:rPr>
  </w:style>
  <w:style w:type="paragraph" w:customStyle="1" w:styleId="AnnexTable">
    <w:name w:val="Annex Table"/>
    <w:basedOn w:val="Normal"/>
    <w:next w:val="Normal"/>
    <w:qFormat/>
    <w:pPr>
      <w:numPr>
        <w:numId w:val="5"/>
      </w:numPr>
      <w:tabs>
        <w:tab w:val="left" w:pos="1418"/>
      </w:tabs>
      <w:spacing w:before="120" w:after="120"/>
      <w:jc w:val="center"/>
    </w:pPr>
    <w:rPr>
      <w:i/>
    </w:rPr>
  </w:style>
  <w:style w:type="character" w:customStyle="1" w:styleId="BodyTextChar">
    <w:name w:val="Body Text Char"/>
    <w:link w:val="BodyText"/>
    <w:qFormat/>
    <w:rPr>
      <w:rFonts w:ascii="Arial" w:hAnsi="Arial" w:cs="Times New Roman"/>
      <w:szCs w:val="24"/>
    </w:rPr>
  </w:style>
  <w:style w:type="paragraph" w:customStyle="1" w:styleId="Bullet1">
    <w:name w:val="Bullet 1"/>
    <w:basedOn w:val="Normal"/>
    <w:qFormat/>
    <w:pPr>
      <w:numPr>
        <w:numId w:val="6"/>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qFormat/>
    <w:pPr>
      <w:suppressAutoHyphens/>
      <w:spacing w:after="120"/>
      <w:ind w:left="1134"/>
      <w:jc w:val="both"/>
    </w:pPr>
    <w:rPr>
      <w:rFonts w:cs="Arial"/>
      <w:lang w:val="fr-FR"/>
    </w:rPr>
  </w:style>
  <w:style w:type="paragraph" w:customStyle="1" w:styleId="Bullet2">
    <w:name w:val="Bullet 2"/>
    <w:basedOn w:val="Normal"/>
    <w:qFormat/>
    <w:pPr>
      <w:numPr>
        <w:numId w:val="7"/>
      </w:numPr>
      <w:tabs>
        <w:tab w:val="left" w:pos="1701"/>
      </w:tabs>
      <w:spacing w:after="120"/>
      <w:ind w:left="1701" w:hanging="567"/>
      <w:jc w:val="both"/>
    </w:pPr>
    <w:rPr>
      <w:rFonts w:cs="Arial"/>
    </w:rPr>
  </w:style>
  <w:style w:type="paragraph" w:customStyle="1" w:styleId="Bullet2text">
    <w:name w:val="Bullet 2 text"/>
    <w:basedOn w:val="Normal"/>
    <w:qFormat/>
    <w:pPr>
      <w:suppressAutoHyphens/>
      <w:spacing w:after="120"/>
      <w:ind w:left="1701"/>
      <w:jc w:val="both"/>
    </w:pPr>
    <w:rPr>
      <w:rFonts w:cs="Arial"/>
    </w:rPr>
  </w:style>
  <w:style w:type="paragraph" w:customStyle="1" w:styleId="Bullet3">
    <w:name w:val="Bullet 3"/>
    <w:basedOn w:val="Normal"/>
    <w:qFormat/>
    <w:pPr>
      <w:numPr>
        <w:numId w:val="8"/>
      </w:numPr>
      <w:tabs>
        <w:tab w:val="left" w:pos="2268"/>
      </w:tabs>
      <w:spacing w:after="60"/>
      <w:ind w:left="2268" w:hanging="567"/>
      <w:jc w:val="both"/>
    </w:pPr>
    <w:rPr>
      <w:rFonts w:cs="Arial"/>
      <w:sz w:val="20"/>
    </w:rPr>
  </w:style>
  <w:style w:type="paragraph" w:customStyle="1" w:styleId="Bullet3text">
    <w:name w:val="Bullet 3 text"/>
    <w:basedOn w:val="Normal"/>
    <w:qFormat/>
    <w:pPr>
      <w:suppressAutoHyphens/>
      <w:spacing w:after="60"/>
      <w:ind w:left="2268"/>
    </w:pPr>
    <w:rPr>
      <w:rFonts w:cs="Arial"/>
      <w:sz w:val="20"/>
    </w:rPr>
  </w:style>
  <w:style w:type="paragraph" w:customStyle="1" w:styleId="Figure">
    <w:name w:val="Figure_#"/>
    <w:basedOn w:val="Normal"/>
    <w:next w:val="Normal"/>
    <w:qFormat/>
    <w:pPr>
      <w:numPr>
        <w:numId w:val="9"/>
      </w:numPr>
      <w:spacing w:before="120" w:after="120"/>
      <w:jc w:val="center"/>
    </w:pPr>
    <w:rPr>
      <w:i/>
      <w:szCs w:val="20"/>
    </w:rPr>
  </w:style>
  <w:style w:type="character" w:customStyle="1" w:styleId="FooterChar">
    <w:name w:val="Footer Char"/>
    <w:link w:val="Footer"/>
    <w:qFormat/>
    <w:rPr>
      <w:rFonts w:ascii="Arial" w:hAnsi="Arial" w:cs="Times New Roman"/>
      <w:szCs w:val="24"/>
    </w:rPr>
  </w:style>
  <w:style w:type="character" w:customStyle="1" w:styleId="HeaderChar">
    <w:name w:val="Header Char"/>
    <w:link w:val="Header"/>
    <w:qFormat/>
    <w:rPr>
      <w:rFonts w:ascii="Arial" w:eastAsia="Calibri" w:hAnsi="Arial" w:cs="Times New Roman"/>
      <w:szCs w:val="24"/>
      <w:lang w:eastAsia="en-GB"/>
    </w:rPr>
  </w:style>
  <w:style w:type="character" w:customStyle="1" w:styleId="Heading3Char">
    <w:name w:val="Heading 3 Char"/>
    <w:link w:val="Heading3"/>
    <w:qFormat/>
    <w:rPr>
      <w:rFonts w:ascii="Arial" w:hAnsi="Arial" w:cs="Calibri"/>
      <w:szCs w:val="20"/>
      <w:lang w:eastAsia="de-DE"/>
    </w:rPr>
  </w:style>
  <w:style w:type="character" w:customStyle="1" w:styleId="Heading4Char">
    <w:name w:val="Heading 4 Char"/>
    <w:link w:val="Heading4"/>
    <w:qFormat/>
    <w:rPr>
      <w:rFonts w:ascii="Arial" w:hAnsi="Arial" w:cs="Calibri"/>
      <w:szCs w:val="20"/>
      <w:lang w:val="en-US" w:eastAsia="de-DE"/>
    </w:rPr>
  </w:style>
  <w:style w:type="character" w:customStyle="1" w:styleId="Heading5Char">
    <w:name w:val="Heading 5 Char"/>
    <w:link w:val="Heading5"/>
    <w:qFormat/>
    <w:rPr>
      <w:rFonts w:ascii="Arial" w:eastAsia="Times New Roman" w:hAnsi="Arial" w:cs="Times New Roman"/>
      <w:szCs w:val="20"/>
      <w:lang w:val="de-DE" w:eastAsia="de-DE"/>
    </w:rPr>
  </w:style>
  <w:style w:type="character" w:customStyle="1" w:styleId="Heading6Char">
    <w:name w:val="Heading 6 Char"/>
    <w:link w:val="Heading6"/>
    <w:qFormat/>
    <w:rPr>
      <w:rFonts w:ascii="Arial" w:hAnsi="Arial" w:cs="Calibri"/>
      <w:szCs w:val="20"/>
      <w:lang w:val="de-DE" w:eastAsia="de-DE"/>
    </w:rPr>
  </w:style>
  <w:style w:type="character" w:customStyle="1" w:styleId="Heading7Char">
    <w:name w:val="Heading 7 Char"/>
    <w:link w:val="Heading7"/>
    <w:qFormat/>
    <w:rPr>
      <w:rFonts w:ascii="Arial" w:hAnsi="Arial" w:cs="Calibri"/>
      <w:szCs w:val="20"/>
      <w:lang w:val="de-DE" w:eastAsia="de-DE"/>
    </w:rPr>
  </w:style>
  <w:style w:type="character" w:customStyle="1" w:styleId="Heading8Char">
    <w:name w:val="Heading 8 Char"/>
    <w:link w:val="Heading8"/>
    <w:qFormat/>
    <w:rPr>
      <w:rFonts w:ascii="Arial" w:hAnsi="Arial" w:cs="Calibri"/>
      <w:szCs w:val="20"/>
      <w:lang w:val="de-DE" w:eastAsia="de-DE"/>
    </w:rPr>
  </w:style>
  <w:style w:type="character" w:customStyle="1" w:styleId="Heading9Char">
    <w:name w:val="Heading 9 Char"/>
    <w:link w:val="Heading9"/>
    <w:qFormat/>
    <w:rPr>
      <w:rFonts w:ascii="Arial" w:hAnsi="Arial" w:cs="Calibri"/>
      <w:szCs w:val="20"/>
      <w:lang w:val="de-DE" w:eastAsia="de-DE"/>
    </w:rPr>
  </w:style>
  <w:style w:type="paragraph" w:customStyle="1" w:styleId="List1">
    <w:name w:val="List 1"/>
    <w:basedOn w:val="Normal"/>
    <w:qFormat/>
    <w:pPr>
      <w:numPr>
        <w:numId w:val="10"/>
      </w:numPr>
      <w:spacing w:after="120"/>
      <w:jc w:val="both"/>
    </w:pPr>
    <w:rPr>
      <w:rFonts w:eastAsia="MS Mincho"/>
      <w:lang w:eastAsia="ja-JP"/>
    </w:rPr>
  </w:style>
  <w:style w:type="paragraph" w:customStyle="1" w:styleId="List1indent2">
    <w:name w:val="List 1 indent 2"/>
    <w:basedOn w:val="Normal"/>
    <w:qFormat/>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ind w:left="567"/>
    </w:pPr>
    <w:rPr>
      <w:rFonts w:cs="Arial"/>
    </w:rPr>
  </w:style>
  <w:style w:type="paragraph" w:customStyle="1" w:styleId="Table">
    <w:name w:val="Table_#"/>
    <w:basedOn w:val="Normal"/>
    <w:next w:val="Normal"/>
    <w:qFormat/>
    <w:pPr>
      <w:numPr>
        <w:numId w:val="11"/>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link w:val="FootnoteText"/>
    <w:semiHidden/>
    <w:qFormat/>
    <w:rPr>
      <w:rFonts w:ascii="Arial" w:hAnsi="Arial" w:cs="Times New Roman"/>
      <w:sz w:val="20"/>
      <w:szCs w:val="20"/>
    </w:rPr>
  </w:style>
  <w:style w:type="character" w:customStyle="1" w:styleId="SubtitleChar">
    <w:name w:val="Subtitle Char"/>
    <w:link w:val="Subtitle"/>
    <w:qFormat/>
    <w:rPr>
      <w:rFonts w:ascii="Arial" w:hAnsi="Arial" w:cs="Arial"/>
      <w:szCs w:val="24"/>
    </w:rPr>
  </w:style>
  <w:style w:type="character" w:customStyle="1" w:styleId="TitleChar">
    <w:name w:val="Title Char"/>
    <w:link w:val="Title"/>
    <w:qFormat/>
    <w:rPr>
      <w:rFonts w:ascii="Arial" w:hAnsi="Arial" w:cs="Arial"/>
      <w:b/>
      <w:bCs/>
      <w:kern w:val="28"/>
      <w:sz w:val="32"/>
      <w:szCs w:val="32"/>
    </w:rPr>
  </w:style>
  <w:style w:type="paragraph" w:customStyle="1" w:styleId="List1indent1">
    <w:name w:val="List 1 indent 1"/>
    <w:basedOn w:val="Normal"/>
    <w:qFormat/>
    <w:pPr>
      <w:numPr>
        <w:ilvl w:val="1"/>
        <w:numId w:val="10"/>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numPr>
        <w:numId w:val="12"/>
      </w:numPr>
      <w:spacing w:after="120"/>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
    <w:name w:val="equation"/>
    <w:basedOn w:val="Normal"/>
    <w:next w:val="BodyText"/>
    <w:qFormat/>
    <w:pPr>
      <w:keepNext/>
      <w:numPr>
        <w:numId w:val="14"/>
      </w:numPr>
      <w:tabs>
        <w:tab w:val="left" w:pos="142"/>
      </w:tabs>
      <w:spacing w:after="120"/>
      <w:jc w:val="right"/>
    </w:pPr>
    <w:rPr>
      <w:rFonts w:eastAsia="Times New Roman" w:cs="Times New Roman"/>
      <w:szCs w:val="24"/>
      <w:lang w:eastAsia="en-US"/>
    </w:rPr>
  </w:style>
  <w:style w:type="paragraph" w:customStyle="1" w:styleId="Appendix">
    <w:name w:val="Appendix"/>
    <w:basedOn w:val="Normal"/>
    <w:next w:val="Normal"/>
    <w:qFormat/>
    <w:pPr>
      <w:numPr>
        <w:numId w:val="15"/>
      </w:numPr>
      <w:spacing w:before="120" w:after="240"/>
      <w:ind w:left="1985" w:hanging="1985"/>
    </w:pPr>
    <w:rPr>
      <w:b/>
      <w:sz w:val="24"/>
      <w:szCs w:val="28"/>
      <w:lang w:eastAsia="en-US"/>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uiPriority w:val="99"/>
    <w:semiHidden/>
    <w:qFormat/>
    <w:rPr>
      <w:rFonts w:ascii="Arial" w:hAnsi="Arial" w:cs="Calibri"/>
    </w:rPr>
  </w:style>
  <w:style w:type="character" w:customStyle="1" w:styleId="CommentSubjectChar">
    <w:name w:val="Comment Subject Char"/>
    <w:basedOn w:val="CommentTextChar"/>
    <w:link w:val="CommentSubject"/>
    <w:uiPriority w:val="99"/>
    <w:semiHidden/>
    <w:qFormat/>
    <w:rPr>
      <w:rFonts w:ascii="Arial" w:hAnsi="Arial" w:cs="Calibri"/>
      <w:b/>
      <w:bCs/>
    </w:rPr>
  </w:style>
  <w:style w:type="paragraph" w:customStyle="1" w:styleId="P68B1DB1-383">
    <w:name w:val="P68B1DB1-383"/>
    <w:qFormat/>
    <w:pPr>
      <w:spacing w:before="180" w:after="240"/>
      <w:jc w:val="center"/>
      <w:outlineLvl w:val="0"/>
    </w:pPr>
    <w:rPr>
      <w:rFonts w:ascii="SimSun" w:hAnsi="SimSun" w:hint="eastAsia"/>
      <w:spacing w:val="-10"/>
      <w:sz w:val="24"/>
      <w:szCs w:val="24"/>
    </w:rPr>
  </w:style>
  <w:style w:type="paragraph" w:styleId="Revision">
    <w:name w:val="Revision"/>
    <w:hidden/>
    <w:uiPriority w:val="99"/>
    <w:unhideWhenUsed/>
    <w:rsid w:val="007D1101"/>
    <w:rPr>
      <w:rFonts w:ascii="Arial" w:eastAsia="Calibri" w:hAnsi="Arial" w:cs="Calibri"/>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javascript:void(0);" TargetMode="Externa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https://fanyi.baidu.com/translate?aldtype=16047&amp;query=On+Racon+Range+Performance&amp;keyfrom=baidu&amp;smartresult=dict&amp;lang=auto2zh"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307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7" ma:contentTypeDescription="Create a new document." ma:contentTypeScope="" ma:versionID="04bc23b21afb3e15542592fc2993fd5f">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9db051272a094ac860014e7245cf9ef"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B46AEA-873E-4805-86B2-11DCF0F06F0B}">
  <ds:schemaRefs>
    <ds:schemaRef ds:uri="http://schemas.openxmlformats.org/officeDocument/2006/bibliography"/>
  </ds:schemaRefs>
</ds:datastoreItem>
</file>

<file path=customXml/itemProps3.xml><?xml version="1.0" encoding="utf-8"?>
<ds:datastoreItem xmlns:ds="http://schemas.openxmlformats.org/officeDocument/2006/customXml" ds:itemID="{CCFF7C7D-B18B-48CF-887C-88D2747C4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5.xml><?xml version="1.0" encoding="utf-8"?>
<ds:datastoreItem xmlns:ds="http://schemas.openxmlformats.org/officeDocument/2006/customXml" ds:itemID="{FBD5D004-0F54-462F-8EC6-6F32BB74DE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5</Pages>
  <Words>1482</Words>
  <Characters>8155</Characters>
  <Application>Microsoft Office Word</Application>
  <DocSecurity>0</DocSecurity>
  <Lines>67</Lines>
  <Paragraphs>19</Paragraphs>
  <ScaleCrop>false</ScaleCrop>
  <Company/>
  <LinksUpToDate>false</LinksUpToDate>
  <CharactersWithSpaces>9618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Jaime Alvarez</cp:lastModifiedBy>
  <cp:revision>15</cp:revision>
  <dcterms:created xsi:type="dcterms:W3CDTF">2021-01-22T11:23:00Z</dcterms:created>
  <dcterms:modified xsi:type="dcterms:W3CDTF">2023-10-09T13:11:00Z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y fmtid="{D5CDD505-2E9C-101B-9397-08002B2CF9AE}" pid="5" name="KSOProductBuildVer">
    <vt:lpwstr>2052-12.1.0.15358</vt:lpwstr>
  </property>
  <property fmtid="{D5CDD505-2E9C-101B-9397-08002B2CF9AE}" pid="6" name="ICV">
    <vt:lpwstr>F57A13B38BC34C679EFAB5F535898D07_13</vt:lpwstr>
  </property>
</Properties>
</file>